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99563" w14:textId="26CAC407" w:rsidR="008E25F4" w:rsidRDefault="008E25F4" w:rsidP="006B0ADE">
      <w:pPr>
        <w:ind w:left="1418" w:right="1418"/>
        <w:jc w:val="center"/>
        <w:rPr>
          <w:rFonts w:cstheme="minorHAnsi"/>
          <w:b/>
          <w:sz w:val="32"/>
          <w:szCs w:val="32"/>
        </w:rPr>
      </w:pPr>
      <w:r w:rsidRPr="008E25F4">
        <w:rPr>
          <w:rFonts w:cstheme="minorHAnsi"/>
          <w:b/>
          <w:sz w:val="32"/>
          <w:szCs w:val="32"/>
        </w:rPr>
        <w:t>La certification des comptes des Collectivités Territoriales favorisera-t-elle un changement de gouvernance ?  De l’agence vers l’intendance ?</w:t>
      </w:r>
    </w:p>
    <w:p w14:paraId="4BCF13DD" w14:textId="6239DE86" w:rsidR="008E25F4" w:rsidRDefault="008E25F4" w:rsidP="006B0ADE">
      <w:pPr>
        <w:ind w:left="1418" w:right="1418"/>
        <w:jc w:val="center"/>
        <w:rPr>
          <w:rFonts w:cstheme="minorHAnsi"/>
          <w:b/>
          <w:sz w:val="32"/>
          <w:szCs w:val="32"/>
        </w:rPr>
      </w:pPr>
    </w:p>
    <w:p w14:paraId="611AA154" w14:textId="55AC0DDF" w:rsidR="008E25F4" w:rsidRDefault="008E25F4" w:rsidP="006B0ADE">
      <w:pPr>
        <w:ind w:left="1418" w:right="1418"/>
        <w:jc w:val="center"/>
        <w:rPr>
          <w:rFonts w:cstheme="minorHAnsi"/>
          <w:b/>
          <w:sz w:val="32"/>
          <w:szCs w:val="32"/>
        </w:rPr>
      </w:pPr>
    </w:p>
    <w:p w14:paraId="449D159A" w14:textId="0448D44A" w:rsidR="008E25F4" w:rsidRDefault="008E25F4" w:rsidP="006B0ADE">
      <w:pPr>
        <w:ind w:left="1418" w:right="1418"/>
        <w:jc w:val="center"/>
        <w:rPr>
          <w:rFonts w:cstheme="minorHAnsi"/>
          <w:bCs/>
          <w:sz w:val="34"/>
          <w:szCs w:val="34"/>
        </w:rPr>
      </w:pPr>
      <w:proofErr w:type="spellStart"/>
      <w:r w:rsidRPr="00795D28">
        <w:rPr>
          <w:rFonts w:cstheme="minorHAnsi"/>
          <w:bCs/>
          <w:sz w:val="34"/>
          <w:szCs w:val="34"/>
        </w:rPr>
        <w:t>Questioning</w:t>
      </w:r>
      <w:proofErr w:type="spellEnd"/>
      <w:r w:rsidRPr="00795D28">
        <w:rPr>
          <w:rFonts w:cstheme="minorHAnsi"/>
          <w:bCs/>
          <w:sz w:val="34"/>
          <w:szCs w:val="34"/>
        </w:rPr>
        <w:t xml:space="preserve"> on</w:t>
      </w:r>
      <w:r w:rsidRPr="00795D28">
        <w:rPr>
          <w:rFonts w:cstheme="minorHAnsi"/>
          <w:b/>
          <w:sz w:val="34"/>
          <w:szCs w:val="34"/>
        </w:rPr>
        <w:t xml:space="preserve"> </w:t>
      </w:r>
      <w:r w:rsidRPr="00795D28">
        <w:rPr>
          <w:rFonts w:cstheme="minorHAnsi"/>
          <w:bCs/>
          <w:sz w:val="34"/>
          <w:szCs w:val="34"/>
        </w:rPr>
        <w:t xml:space="preserve">the impact of the certification of the </w:t>
      </w:r>
      <w:proofErr w:type="spellStart"/>
      <w:r w:rsidRPr="00795D28">
        <w:rPr>
          <w:rFonts w:cstheme="minorHAnsi"/>
          <w:bCs/>
          <w:sz w:val="34"/>
          <w:szCs w:val="34"/>
        </w:rPr>
        <w:t>accounts</w:t>
      </w:r>
      <w:proofErr w:type="spellEnd"/>
      <w:r w:rsidRPr="00795D28">
        <w:rPr>
          <w:rFonts w:cstheme="minorHAnsi"/>
          <w:bCs/>
          <w:sz w:val="34"/>
          <w:szCs w:val="34"/>
        </w:rPr>
        <w:t xml:space="preserve"> of Local </w:t>
      </w:r>
      <w:proofErr w:type="spellStart"/>
      <w:r w:rsidRPr="00795D28">
        <w:rPr>
          <w:rFonts w:cstheme="minorHAnsi"/>
          <w:bCs/>
          <w:sz w:val="34"/>
          <w:szCs w:val="34"/>
        </w:rPr>
        <w:t>Authorities</w:t>
      </w:r>
      <w:proofErr w:type="spellEnd"/>
      <w:r w:rsidRPr="00795D28">
        <w:rPr>
          <w:rFonts w:cstheme="minorHAnsi"/>
          <w:bCs/>
          <w:sz w:val="34"/>
          <w:szCs w:val="34"/>
        </w:rPr>
        <w:t xml:space="preserve"> on </w:t>
      </w:r>
      <w:proofErr w:type="spellStart"/>
      <w:r w:rsidRPr="00795D28">
        <w:rPr>
          <w:rFonts w:cstheme="minorHAnsi"/>
          <w:bCs/>
          <w:sz w:val="34"/>
          <w:szCs w:val="34"/>
        </w:rPr>
        <w:t>their</w:t>
      </w:r>
      <w:proofErr w:type="spellEnd"/>
      <w:r w:rsidRPr="00795D28">
        <w:rPr>
          <w:rFonts w:cstheme="minorHAnsi"/>
          <w:bCs/>
          <w:sz w:val="34"/>
          <w:szCs w:val="34"/>
        </w:rPr>
        <w:t xml:space="preserve"> </w:t>
      </w:r>
      <w:proofErr w:type="spellStart"/>
      <w:r w:rsidRPr="00795D28">
        <w:rPr>
          <w:rFonts w:cstheme="minorHAnsi"/>
          <w:bCs/>
          <w:sz w:val="34"/>
          <w:szCs w:val="34"/>
        </w:rPr>
        <w:t>governance</w:t>
      </w:r>
      <w:proofErr w:type="spellEnd"/>
      <w:r w:rsidRPr="00795D28">
        <w:rPr>
          <w:rFonts w:cstheme="minorHAnsi"/>
          <w:bCs/>
          <w:sz w:val="34"/>
          <w:szCs w:val="34"/>
        </w:rPr>
        <w:t xml:space="preserve">, </w:t>
      </w:r>
      <w:proofErr w:type="spellStart"/>
      <w:r w:rsidRPr="00795D28">
        <w:rPr>
          <w:rFonts w:cstheme="minorHAnsi"/>
          <w:bCs/>
          <w:sz w:val="34"/>
          <w:szCs w:val="34"/>
        </w:rPr>
        <w:t>from</w:t>
      </w:r>
      <w:proofErr w:type="spellEnd"/>
      <w:r w:rsidRPr="00795D28">
        <w:rPr>
          <w:rFonts w:cstheme="minorHAnsi"/>
          <w:bCs/>
          <w:sz w:val="34"/>
          <w:szCs w:val="34"/>
        </w:rPr>
        <w:t xml:space="preserve"> Agency </w:t>
      </w:r>
      <w:proofErr w:type="spellStart"/>
      <w:r w:rsidRPr="00795D28">
        <w:rPr>
          <w:rFonts w:cstheme="minorHAnsi"/>
          <w:bCs/>
          <w:sz w:val="34"/>
          <w:szCs w:val="34"/>
        </w:rPr>
        <w:t>Relationships</w:t>
      </w:r>
      <w:proofErr w:type="spellEnd"/>
      <w:r w:rsidRPr="00795D28">
        <w:rPr>
          <w:rFonts w:cstheme="minorHAnsi"/>
          <w:bCs/>
          <w:sz w:val="34"/>
          <w:szCs w:val="34"/>
        </w:rPr>
        <w:t xml:space="preserve"> to Steward </w:t>
      </w:r>
      <w:proofErr w:type="spellStart"/>
      <w:proofErr w:type="gramStart"/>
      <w:r w:rsidR="00795D28">
        <w:rPr>
          <w:rFonts w:cstheme="minorHAnsi"/>
          <w:bCs/>
          <w:sz w:val="34"/>
          <w:szCs w:val="34"/>
        </w:rPr>
        <w:t>Relationships</w:t>
      </w:r>
      <w:proofErr w:type="spellEnd"/>
      <w:r w:rsidRPr="00795D28">
        <w:rPr>
          <w:rFonts w:cstheme="minorHAnsi"/>
          <w:bCs/>
          <w:sz w:val="34"/>
          <w:szCs w:val="34"/>
        </w:rPr>
        <w:t>?</w:t>
      </w:r>
      <w:proofErr w:type="gramEnd"/>
    </w:p>
    <w:p w14:paraId="33ADDE5D" w14:textId="77777777" w:rsidR="005549F6" w:rsidRDefault="005549F6" w:rsidP="006B0ADE">
      <w:pPr>
        <w:ind w:left="1418" w:right="1418"/>
        <w:jc w:val="center"/>
        <w:rPr>
          <w:rFonts w:cstheme="minorHAnsi"/>
          <w:bCs/>
          <w:sz w:val="34"/>
          <w:szCs w:val="34"/>
        </w:rPr>
      </w:pPr>
    </w:p>
    <w:p w14:paraId="5F012AE5" w14:textId="6FA83FFC" w:rsidR="00795D28" w:rsidRPr="005549F6" w:rsidRDefault="005549F6" w:rsidP="005549F6">
      <w:pPr>
        <w:ind w:left="1418" w:right="1418"/>
        <w:jc w:val="center"/>
        <w:rPr>
          <w:rFonts w:cstheme="minorHAnsi"/>
          <w:b/>
          <w:sz w:val="24"/>
          <w:szCs w:val="24"/>
        </w:rPr>
      </w:pPr>
      <w:r w:rsidRPr="005549F6">
        <w:rPr>
          <w:rFonts w:cstheme="minorHAnsi"/>
          <w:b/>
          <w:sz w:val="24"/>
          <w:szCs w:val="24"/>
        </w:rPr>
        <w:t>CALVI Monique</w:t>
      </w:r>
      <w:r>
        <w:rPr>
          <w:rStyle w:val="Appelnotedebasdep"/>
          <w:rFonts w:cstheme="minorHAnsi"/>
          <w:b/>
          <w:sz w:val="24"/>
          <w:szCs w:val="24"/>
        </w:rPr>
        <w:footnoteReference w:id="1"/>
      </w:r>
    </w:p>
    <w:p w14:paraId="47F9E0FF" w14:textId="583979FE" w:rsidR="00795D28" w:rsidRDefault="00795D28" w:rsidP="006B0ADE">
      <w:pPr>
        <w:jc w:val="center"/>
        <w:rPr>
          <w:rFonts w:cstheme="minorHAnsi"/>
          <w:bCs/>
          <w:sz w:val="34"/>
          <w:szCs w:val="34"/>
        </w:rPr>
      </w:pPr>
    </w:p>
    <w:p w14:paraId="3009D992" w14:textId="746815D2" w:rsidR="00795D28" w:rsidRDefault="00795D28" w:rsidP="006B0ADE">
      <w:pPr>
        <w:rPr>
          <w:rFonts w:cstheme="minorHAnsi"/>
          <w:b/>
          <w:sz w:val="24"/>
          <w:szCs w:val="24"/>
        </w:rPr>
      </w:pPr>
      <w:r w:rsidRPr="00795D28">
        <w:rPr>
          <w:rFonts w:cstheme="minorHAnsi"/>
          <w:b/>
          <w:sz w:val="24"/>
          <w:szCs w:val="24"/>
        </w:rPr>
        <w:t>Résumé</w:t>
      </w:r>
      <w:r>
        <w:rPr>
          <w:rFonts w:cstheme="minorHAnsi"/>
          <w:b/>
          <w:sz w:val="24"/>
          <w:szCs w:val="24"/>
        </w:rPr>
        <w:t> :</w:t>
      </w:r>
    </w:p>
    <w:p w14:paraId="78CA3120" w14:textId="7FCB9501" w:rsidR="00795D28" w:rsidRDefault="00795D28" w:rsidP="006B0ADE">
      <w:pPr>
        <w:jc w:val="both"/>
        <w:rPr>
          <w:rFonts w:cstheme="minorHAnsi"/>
          <w:bCs/>
        </w:rPr>
      </w:pPr>
      <w:r w:rsidRPr="008E25F4">
        <w:rPr>
          <w:rFonts w:cstheme="minorHAnsi"/>
          <w:bCs/>
        </w:rPr>
        <w:t>Cet article porte sur une réflexion relative à l’impact potentiel de la certification des comptes des Collectivités Territoriales sur leur gouvernance notamment dans les relations entre d’une part les élus et les citoyens et d’autre part l’ordonnateur-élu- et le comptable public. L’instauration de la certification des comptes dans ces organisations s’accompagne d’une nouvelle norme comptable qui apporte des modifications majeures à la construction et à la restitution de l’information comptable et financière. Les paradigmes utilisés sont ceux des théories de l’agence et de l’intendance.</w:t>
      </w:r>
    </w:p>
    <w:p w14:paraId="40203549" w14:textId="681D7738" w:rsidR="00795D28" w:rsidRDefault="00795D28" w:rsidP="006B0ADE">
      <w:pPr>
        <w:jc w:val="both"/>
        <w:rPr>
          <w:rFonts w:cstheme="minorHAnsi"/>
          <w:b/>
          <w:sz w:val="24"/>
          <w:szCs w:val="24"/>
        </w:rPr>
      </w:pPr>
      <w:r w:rsidRPr="00795D28">
        <w:rPr>
          <w:rFonts w:cstheme="minorHAnsi"/>
          <w:b/>
          <w:sz w:val="24"/>
          <w:szCs w:val="24"/>
        </w:rPr>
        <w:t>Mots clé :</w:t>
      </w:r>
    </w:p>
    <w:p w14:paraId="4D738505" w14:textId="4203C880" w:rsidR="00795D28" w:rsidRDefault="00795D28" w:rsidP="006B0ADE">
      <w:pPr>
        <w:jc w:val="both"/>
        <w:rPr>
          <w:rFonts w:cstheme="minorHAnsi"/>
          <w:bCs/>
        </w:rPr>
      </w:pPr>
      <w:r w:rsidRPr="00795D28">
        <w:rPr>
          <w:rFonts w:cstheme="minorHAnsi"/>
          <w:bCs/>
        </w:rPr>
        <w:t>Certification, collectivités territoriales, gouvernance, agence, intendance</w:t>
      </w:r>
      <w:r>
        <w:rPr>
          <w:rFonts w:cstheme="minorHAnsi"/>
          <w:bCs/>
        </w:rPr>
        <w:t>.</w:t>
      </w:r>
    </w:p>
    <w:p w14:paraId="262FBCEE" w14:textId="4806DBCC" w:rsidR="00795D28" w:rsidRDefault="00795D28" w:rsidP="006B0ADE">
      <w:pPr>
        <w:jc w:val="both"/>
        <w:rPr>
          <w:rFonts w:cstheme="minorHAnsi"/>
          <w:bCs/>
        </w:rPr>
      </w:pPr>
    </w:p>
    <w:p w14:paraId="4A2AF2B5" w14:textId="77777777" w:rsidR="00154726" w:rsidRDefault="00154726" w:rsidP="006B0ADE">
      <w:pPr>
        <w:jc w:val="both"/>
        <w:rPr>
          <w:rFonts w:cstheme="minorHAnsi"/>
          <w:bCs/>
        </w:rPr>
      </w:pPr>
    </w:p>
    <w:p w14:paraId="23CD11EA" w14:textId="77777777" w:rsidR="00795D28" w:rsidRDefault="00795D28" w:rsidP="006B0ADE">
      <w:pPr>
        <w:jc w:val="both"/>
        <w:rPr>
          <w:rFonts w:cstheme="minorHAnsi"/>
          <w:b/>
          <w:sz w:val="24"/>
          <w:szCs w:val="24"/>
        </w:rPr>
      </w:pPr>
      <w:r w:rsidRPr="00795D28">
        <w:rPr>
          <w:rFonts w:cstheme="minorHAnsi"/>
          <w:b/>
          <w:sz w:val="24"/>
          <w:szCs w:val="24"/>
        </w:rPr>
        <w:t>Abstract :</w:t>
      </w:r>
    </w:p>
    <w:p w14:paraId="0D3513F4" w14:textId="484B383B" w:rsidR="00795D28" w:rsidRDefault="00795D28" w:rsidP="006B0ADE">
      <w:pPr>
        <w:jc w:val="both"/>
        <w:rPr>
          <w:rFonts w:cstheme="minorHAnsi"/>
          <w:bCs/>
        </w:rPr>
      </w:pPr>
      <w:r w:rsidRPr="008E25F4">
        <w:rPr>
          <w:rFonts w:cstheme="minorHAnsi"/>
          <w:bCs/>
        </w:rPr>
        <w:t xml:space="preserve">This article deals </w:t>
      </w:r>
      <w:proofErr w:type="spellStart"/>
      <w:r w:rsidRPr="008E25F4">
        <w:rPr>
          <w:rFonts w:cstheme="minorHAnsi"/>
          <w:bCs/>
        </w:rPr>
        <w:t>with</w:t>
      </w:r>
      <w:proofErr w:type="spellEnd"/>
      <w:r w:rsidRPr="008E25F4">
        <w:rPr>
          <w:rFonts w:cstheme="minorHAnsi"/>
          <w:bCs/>
        </w:rPr>
        <w:t xml:space="preserve"> a </w:t>
      </w:r>
      <w:proofErr w:type="spellStart"/>
      <w:r w:rsidRPr="008E25F4">
        <w:rPr>
          <w:rFonts w:cstheme="minorHAnsi"/>
          <w:bCs/>
        </w:rPr>
        <w:t>reflection</w:t>
      </w:r>
      <w:proofErr w:type="spellEnd"/>
      <w:r w:rsidRPr="008E25F4">
        <w:rPr>
          <w:rFonts w:cstheme="minorHAnsi"/>
          <w:bCs/>
        </w:rPr>
        <w:t xml:space="preserve"> on the </w:t>
      </w:r>
      <w:proofErr w:type="spellStart"/>
      <w:r w:rsidRPr="008E25F4">
        <w:rPr>
          <w:rFonts w:cstheme="minorHAnsi"/>
          <w:bCs/>
        </w:rPr>
        <w:t>potential</w:t>
      </w:r>
      <w:proofErr w:type="spellEnd"/>
      <w:r w:rsidRPr="008E25F4">
        <w:rPr>
          <w:rFonts w:cstheme="minorHAnsi"/>
          <w:bCs/>
        </w:rPr>
        <w:t xml:space="preserve"> impact of the certification of the </w:t>
      </w:r>
      <w:proofErr w:type="spellStart"/>
      <w:r w:rsidRPr="008E25F4">
        <w:rPr>
          <w:rFonts w:cstheme="minorHAnsi"/>
          <w:bCs/>
        </w:rPr>
        <w:t>accounts</w:t>
      </w:r>
      <w:proofErr w:type="spellEnd"/>
      <w:r w:rsidRPr="008E25F4">
        <w:rPr>
          <w:rFonts w:cstheme="minorHAnsi"/>
          <w:bCs/>
        </w:rPr>
        <w:t xml:space="preserve"> of Local </w:t>
      </w:r>
      <w:proofErr w:type="spellStart"/>
      <w:r w:rsidRPr="008E25F4">
        <w:rPr>
          <w:rFonts w:cstheme="minorHAnsi"/>
          <w:bCs/>
        </w:rPr>
        <w:t>Authorities</w:t>
      </w:r>
      <w:proofErr w:type="spellEnd"/>
      <w:r w:rsidRPr="008E25F4">
        <w:rPr>
          <w:rFonts w:cstheme="minorHAnsi"/>
          <w:bCs/>
        </w:rPr>
        <w:t xml:space="preserve"> on </w:t>
      </w:r>
      <w:proofErr w:type="spellStart"/>
      <w:r w:rsidRPr="008E25F4">
        <w:rPr>
          <w:rFonts w:cstheme="minorHAnsi"/>
          <w:bCs/>
        </w:rPr>
        <w:t>their</w:t>
      </w:r>
      <w:proofErr w:type="spellEnd"/>
      <w:r w:rsidRPr="008E25F4">
        <w:rPr>
          <w:rFonts w:cstheme="minorHAnsi"/>
          <w:bCs/>
        </w:rPr>
        <w:t xml:space="preserve"> </w:t>
      </w:r>
      <w:proofErr w:type="spellStart"/>
      <w:r w:rsidRPr="008E25F4">
        <w:rPr>
          <w:rFonts w:cstheme="minorHAnsi"/>
          <w:bCs/>
        </w:rPr>
        <w:t>governance</w:t>
      </w:r>
      <w:proofErr w:type="spellEnd"/>
      <w:r w:rsidRPr="008E25F4">
        <w:rPr>
          <w:rFonts w:cstheme="minorHAnsi"/>
          <w:bCs/>
        </w:rPr>
        <w:t xml:space="preserve">, </w:t>
      </w:r>
      <w:proofErr w:type="spellStart"/>
      <w:r w:rsidRPr="008E25F4">
        <w:rPr>
          <w:rFonts w:cstheme="minorHAnsi"/>
          <w:bCs/>
        </w:rPr>
        <w:t>particularly</w:t>
      </w:r>
      <w:proofErr w:type="spellEnd"/>
      <w:r w:rsidRPr="008E25F4">
        <w:rPr>
          <w:rFonts w:cstheme="minorHAnsi"/>
          <w:bCs/>
        </w:rPr>
        <w:t xml:space="preserve"> in the relations </w:t>
      </w:r>
      <w:proofErr w:type="spellStart"/>
      <w:r w:rsidRPr="008E25F4">
        <w:rPr>
          <w:rFonts w:cstheme="minorHAnsi"/>
          <w:bCs/>
        </w:rPr>
        <w:t>between</w:t>
      </w:r>
      <w:proofErr w:type="spellEnd"/>
      <w:r w:rsidRPr="008E25F4">
        <w:rPr>
          <w:rFonts w:cstheme="minorHAnsi"/>
          <w:bCs/>
        </w:rPr>
        <w:t xml:space="preserve"> </w:t>
      </w:r>
      <w:proofErr w:type="spellStart"/>
      <w:r w:rsidRPr="008E25F4">
        <w:rPr>
          <w:rFonts w:cstheme="minorHAnsi"/>
          <w:bCs/>
        </w:rPr>
        <w:t>elected</w:t>
      </w:r>
      <w:proofErr w:type="spellEnd"/>
      <w:r w:rsidRPr="008E25F4">
        <w:rPr>
          <w:rFonts w:cstheme="minorHAnsi"/>
          <w:bCs/>
        </w:rPr>
        <w:t xml:space="preserve"> </w:t>
      </w:r>
      <w:proofErr w:type="spellStart"/>
      <w:r w:rsidRPr="008E25F4">
        <w:rPr>
          <w:rFonts w:cstheme="minorHAnsi"/>
          <w:bCs/>
        </w:rPr>
        <w:t>officials</w:t>
      </w:r>
      <w:proofErr w:type="spellEnd"/>
      <w:r w:rsidRPr="008E25F4">
        <w:rPr>
          <w:rFonts w:cstheme="minorHAnsi"/>
          <w:bCs/>
        </w:rPr>
        <w:t xml:space="preserve"> and </w:t>
      </w:r>
      <w:proofErr w:type="spellStart"/>
      <w:r w:rsidRPr="008E25F4">
        <w:rPr>
          <w:rFonts w:cstheme="minorHAnsi"/>
          <w:bCs/>
        </w:rPr>
        <w:t>citizens</w:t>
      </w:r>
      <w:proofErr w:type="spellEnd"/>
      <w:r w:rsidRPr="008E25F4">
        <w:rPr>
          <w:rFonts w:cstheme="minorHAnsi"/>
          <w:bCs/>
        </w:rPr>
        <w:t xml:space="preserve"> on the one hand and the </w:t>
      </w:r>
      <w:proofErr w:type="spellStart"/>
      <w:r w:rsidRPr="008E25F4">
        <w:rPr>
          <w:rFonts w:cstheme="minorHAnsi"/>
          <w:bCs/>
        </w:rPr>
        <w:t>authorising</w:t>
      </w:r>
      <w:proofErr w:type="spellEnd"/>
      <w:r w:rsidRPr="008E25F4">
        <w:rPr>
          <w:rFonts w:cstheme="minorHAnsi"/>
          <w:bCs/>
        </w:rPr>
        <w:t xml:space="preserve"> official-</w:t>
      </w:r>
      <w:proofErr w:type="spellStart"/>
      <w:r w:rsidRPr="008E25F4">
        <w:rPr>
          <w:rFonts w:cstheme="minorHAnsi"/>
          <w:bCs/>
        </w:rPr>
        <w:t>elected</w:t>
      </w:r>
      <w:proofErr w:type="spellEnd"/>
      <w:r w:rsidRPr="008E25F4">
        <w:rPr>
          <w:rFonts w:cstheme="minorHAnsi"/>
          <w:bCs/>
        </w:rPr>
        <w:t xml:space="preserve"> and the public </w:t>
      </w:r>
      <w:proofErr w:type="spellStart"/>
      <w:r w:rsidRPr="008E25F4">
        <w:rPr>
          <w:rFonts w:cstheme="minorHAnsi"/>
          <w:bCs/>
        </w:rPr>
        <w:t>accountant</w:t>
      </w:r>
      <w:proofErr w:type="spellEnd"/>
      <w:r w:rsidRPr="008E25F4">
        <w:rPr>
          <w:rFonts w:cstheme="minorHAnsi"/>
          <w:bCs/>
        </w:rPr>
        <w:t xml:space="preserve"> on the </w:t>
      </w:r>
      <w:proofErr w:type="spellStart"/>
      <w:r w:rsidRPr="008E25F4">
        <w:rPr>
          <w:rFonts w:cstheme="minorHAnsi"/>
          <w:bCs/>
        </w:rPr>
        <w:t>other</w:t>
      </w:r>
      <w:proofErr w:type="spellEnd"/>
      <w:r w:rsidRPr="008E25F4">
        <w:rPr>
          <w:rFonts w:cstheme="minorHAnsi"/>
          <w:bCs/>
        </w:rPr>
        <w:t xml:space="preserve">. The introduction of the certification of </w:t>
      </w:r>
      <w:proofErr w:type="spellStart"/>
      <w:r w:rsidRPr="008E25F4">
        <w:rPr>
          <w:rFonts w:cstheme="minorHAnsi"/>
          <w:bCs/>
        </w:rPr>
        <w:t>accounts</w:t>
      </w:r>
      <w:proofErr w:type="spellEnd"/>
      <w:r w:rsidRPr="008E25F4">
        <w:rPr>
          <w:rFonts w:cstheme="minorHAnsi"/>
          <w:bCs/>
        </w:rPr>
        <w:t xml:space="preserve"> in </w:t>
      </w:r>
      <w:proofErr w:type="spellStart"/>
      <w:r w:rsidRPr="008E25F4">
        <w:rPr>
          <w:rFonts w:cstheme="minorHAnsi"/>
          <w:bCs/>
        </w:rPr>
        <w:t>these</w:t>
      </w:r>
      <w:proofErr w:type="spellEnd"/>
      <w:r w:rsidRPr="008E25F4">
        <w:rPr>
          <w:rFonts w:cstheme="minorHAnsi"/>
          <w:bCs/>
        </w:rPr>
        <w:t xml:space="preserve"> organisations </w:t>
      </w:r>
      <w:proofErr w:type="spellStart"/>
      <w:r w:rsidRPr="008E25F4">
        <w:rPr>
          <w:rFonts w:cstheme="minorHAnsi"/>
          <w:bCs/>
        </w:rPr>
        <w:t>is</w:t>
      </w:r>
      <w:proofErr w:type="spellEnd"/>
      <w:r w:rsidRPr="008E25F4">
        <w:rPr>
          <w:rFonts w:cstheme="minorHAnsi"/>
          <w:bCs/>
        </w:rPr>
        <w:t xml:space="preserve"> </w:t>
      </w:r>
      <w:proofErr w:type="spellStart"/>
      <w:r w:rsidRPr="008E25F4">
        <w:rPr>
          <w:rFonts w:cstheme="minorHAnsi"/>
          <w:bCs/>
        </w:rPr>
        <w:t>accompanied</w:t>
      </w:r>
      <w:proofErr w:type="spellEnd"/>
      <w:r w:rsidRPr="008E25F4">
        <w:rPr>
          <w:rFonts w:cstheme="minorHAnsi"/>
          <w:bCs/>
        </w:rPr>
        <w:t xml:space="preserve"> by a new </w:t>
      </w:r>
      <w:proofErr w:type="spellStart"/>
      <w:r w:rsidRPr="008E25F4">
        <w:rPr>
          <w:rFonts w:cstheme="minorHAnsi"/>
          <w:bCs/>
        </w:rPr>
        <w:t>accounting</w:t>
      </w:r>
      <w:proofErr w:type="spellEnd"/>
      <w:r w:rsidRPr="008E25F4">
        <w:rPr>
          <w:rFonts w:cstheme="minorHAnsi"/>
          <w:bCs/>
        </w:rPr>
        <w:t xml:space="preserve"> standard </w:t>
      </w:r>
      <w:proofErr w:type="spellStart"/>
      <w:r w:rsidRPr="008E25F4">
        <w:rPr>
          <w:rFonts w:cstheme="minorHAnsi"/>
          <w:bCs/>
        </w:rPr>
        <w:t>which</w:t>
      </w:r>
      <w:proofErr w:type="spellEnd"/>
      <w:r w:rsidRPr="008E25F4">
        <w:rPr>
          <w:rFonts w:cstheme="minorHAnsi"/>
          <w:bCs/>
        </w:rPr>
        <w:t xml:space="preserve"> </w:t>
      </w:r>
      <w:proofErr w:type="spellStart"/>
      <w:r w:rsidRPr="008E25F4">
        <w:rPr>
          <w:rFonts w:cstheme="minorHAnsi"/>
          <w:bCs/>
        </w:rPr>
        <w:t>brings</w:t>
      </w:r>
      <w:proofErr w:type="spellEnd"/>
      <w:r w:rsidRPr="008E25F4">
        <w:rPr>
          <w:rFonts w:cstheme="minorHAnsi"/>
          <w:bCs/>
        </w:rPr>
        <w:t xml:space="preserve"> major changes to the construction and restitution of </w:t>
      </w:r>
      <w:proofErr w:type="spellStart"/>
      <w:r w:rsidRPr="008E25F4">
        <w:rPr>
          <w:rFonts w:cstheme="minorHAnsi"/>
          <w:bCs/>
        </w:rPr>
        <w:t>accounting</w:t>
      </w:r>
      <w:proofErr w:type="spellEnd"/>
      <w:r w:rsidRPr="008E25F4">
        <w:rPr>
          <w:rFonts w:cstheme="minorHAnsi"/>
          <w:bCs/>
        </w:rPr>
        <w:t xml:space="preserve"> and </w:t>
      </w:r>
      <w:proofErr w:type="spellStart"/>
      <w:r w:rsidRPr="008E25F4">
        <w:rPr>
          <w:rFonts w:cstheme="minorHAnsi"/>
          <w:bCs/>
        </w:rPr>
        <w:t>financial</w:t>
      </w:r>
      <w:proofErr w:type="spellEnd"/>
      <w:r w:rsidRPr="008E25F4">
        <w:rPr>
          <w:rFonts w:cstheme="minorHAnsi"/>
          <w:bCs/>
        </w:rPr>
        <w:t xml:space="preserve"> information. The </w:t>
      </w:r>
      <w:proofErr w:type="spellStart"/>
      <w:r w:rsidRPr="008E25F4">
        <w:rPr>
          <w:rFonts w:cstheme="minorHAnsi"/>
          <w:bCs/>
        </w:rPr>
        <w:t>paradigms</w:t>
      </w:r>
      <w:proofErr w:type="spellEnd"/>
      <w:r w:rsidRPr="008E25F4">
        <w:rPr>
          <w:rFonts w:cstheme="minorHAnsi"/>
          <w:bCs/>
        </w:rPr>
        <w:t xml:space="preserve"> </w:t>
      </w:r>
      <w:proofErr w:type="spellStart"/>
      <w:r w:rsidRPr="008E25F4">
        <w:rPr>
          <w:rFonts w:cstheme="minorHAnsi"/>
          <w:bCs/>
        </w:rPr>
        <w:t>used</w:t>
      </w:r>
      <w:proofErr w:type="spellEnd"/>
      <w:r w:rsidRPr="008E25F4">
        <w:rPr>
          <w:rFonts w:cstheme="minorHAnsi"/>
          <w:bCs/>
        </w:rPr>
        <w:t xml:space="preserve"> are </w:t>
      </w:r>
      <w:proofErr w:type="spellStart"/>
      <w:r w:rsidRPr="008E25F4">
        <w:rPr>
          <w:rFonts w:cstheme="minorHAnsi"/>
          <w:bCs/>
        </w:rPr>
        <w:t>those</w:t>
      </w:r>
      <w:proofErr w:type="spellEnd"/>
      <w:r w:rsidRPr="008E25F4">
        <w:rPr>
          <w:rFonts w:cstheme="minorHAnsi"/>
          <w:bCs/>
        </w:rPr>
        <w:t xml:space="preserve"> of the </w:t>
      </w:r>
      <w:proofErr w:type="spellStart"/>
      <w:r w:rsidRPr="008E25F4">
        <w:rPr>
          <w:rFonts w:cstheme="minorHAnsi"/>
          <w:bCs/>
        </w:rPr>
        <w:t>agency</w:t>
      </w:r>
      <w:proofErr w:type="spellEnd"/>
      <w:r w:rsidRPr="008E25F4">
        <w:rPr>
          <w:rFonts w:cstheme="minorHAnsi"/>
          <w:bCs/>
        </w:rPr>
        <w:t xml:space="preserve"> and </w:t>
      </w:r>
      <w:proofErr w:type="spellStart"/>
      <w:r w:rsidRPr="008E25F4">
        <w:rPr>
          <w:rFonts w:cstheme="minorHAnsi"/>
          <w:bCs/>
        </w:rPr>
        <w:t>stewardship</w:t>
      </w:r>
      <w:proofErr w:type="spellEnd"/>
      <w:r w:rsidRPr="008E25F4">
        <w:rPr>
          <w:rFonts w:cstheme="minorHAnsi"/>
          <w:bCs/>
        </w:rPr>
        <w:t xml:space="preserve"> </w:t>
      </w:r>
      <w:proofErr w:type="spellStart"/>
      <w:r w:rsidRPr="008E25F4">
        <w:rPr>
          <w:rFonts w:cstheme="minorHAnsi"/>
          <w:bCs/>
        </w:rPr>
        <w:t>theories</w:t>
      </w:r>
      <w:proofErr w:type="spellEnd"/>
      <w:r w:rsidRPr="008E25F4">
        <w:rPr>
          <w:rFonts w:cstheme="minorHAnsi"/>
          <w:bCs/>
        </w:rPr>
        <w:t>.</w:t>
      </w:r>
    </w:p>
    <w:p w14:paraId="08B8F8F1" w14:textId="0EAEE9A5" w:rsidR="00795D28" w:rsidRDefault="00795D28" w:rsidP="006B0ADE">
      <w:pPr>
        <w:jc w:val="both"/>
        <w:rPr>
          <w:rFonts w:cstheme="minorHAnsi"/>
          <w:b/>
          <w:sz w:val="24"/>
          <w:szCs w:val="24"/>
        </w:rPr>
      </w:pPr>
      <w:proofErr w:type="spellStart"/>
      <w:r w:rsidRPr="00795D28">
        <w:rPr>
          <w:rFonts w:cstheme="minorHAnsi"/>
          <w:b/>
          <w:sz w:val="24"/>
          <w:szCs w:val="24"/>
        </w:rPr>
        <w:t>Key-words</w:t>
      </w:r>
      <w:proofErr w:type="spellEnd"/>
      <w:r w:rsidRPr="00795D28">
        <w:rPr>
          <w:rFonts w:cstheme="minorHAnsi"/>
          <w:b/>
          <w:sz w:val="24"/>
          <w:szCs w:val="24"/>
        </w:rPr>
        <w:t> :</w:t>
      </w:r>
    </w:p>
    <w:p w14:paraId="674614BD" w14:textId="0463435C" w:rsidR="00795D28" w:rsidRPr="00154726" w:rsidRDefault="00795D28" w:rsidP="006B0ADE">
      <w:pPr>
        <w:jc w:val="both"/>
        <w:rPr>
          <w:rFonts w:cstheme="minorHAnsi"/>
          <w:bCs/>
        </w:rPr>
      </w:pPr>
      <w:r w:rsidRPr="00154726">
        <w:rPr>
          <w:rFonts w:cstheme="minorHAnsi"/>
          <w:bCs/>
        </w:rPr>
        <w:t xml:space="preserve">Certification, Local </w:t>
      </w:r>
      <w:proofErr w:type="spellStart"/>
      <w:r w:rsidRPr="00154726">
        <w:rPr>
          <w:rFonts w:cstheme="minorHAnsi"/>
          <w:bCs/>
        </w:rPr>
        <w:t>Authorities</w:t>
      </w:r>
      <w:proofErr w:type="spellEnd"/>
      <w:r w:rsidRPr="00154726">
        <w:rPr>
          <w:rFonts w:cstheme="minorHAnsi"/>
          <w:bCs/>
        </w:rPr>
        <w:t xml:space="preserve">, </w:t>
      </w:r>
      <w:proofErr w:type="spellStart"/>
      <w:r w:rsidRPr="00154726">
        <w:rPr>
          <w:rFonts w:cstheme="minorHAnsi"/>
          <w:bCs/>
        </w:rPr>
        <w:t>governance</w:t>
      </w:r>
      <w:proofErr w:type="spellEnd"/>
      <w:r w:rsidRPr="00154726">
        <w:rPr>
          <w:rFonts w:cstheme="minorHAnsi"/>
          <w:bCs/>
        </w:rPr>
        <w:t xml:space="preserve">, </w:t>
      </w:r>
      <w:proofErr w:type="spellStart"/>
      <w:r w:rsidRPr="00154726">
        <w:rPr>
          <w:rFonts w:cstheme="minorHAnsi"/>
          <w:bCs/>
        </w:rPr>
        <w:t>agency</w:t>
      </w:r>
      <w:proofErr w:type="spellEnd"/>
      <w:r w:rsidRPr="00154726">
        <w:rPr>
          <w:rFonts w:cstheme="minorHAnsi"/>
          <w:bCs/>
        </w:rPr>
        <w:t xml:space="preserve"> </w:t>
      </w:r>
      <w:proofErr w:type="spellStart"/>
      <w:r w:rsidR="00154726" w:rsidRPr="00154726">
        <w:rPr>
          <w:rFonts w:cstheme="minorHAnsi"/>
          <w:bCs/>
        </w:rPr>
        <w:t>theory</w:t>
      </w:r>
      <w:proofErr w:type="spellEnd"/>
      <w:r w:rsidR="00154726" w:rsidRPr="00154726">
        <w:rPr>
          <w:rFonts w:cstheme="minorHAnsi"/>
          <w:bCs/>
        </w:rPr>
        <w:t xml:space="preserve">, </w:t>
      </w:r>
      <w:proofErr w:type="spellStart"/>
      <w:r w:rsidRPr="00154726">
        <w:rPr>
          <w:rFonts w:cstheme="minorHAnsi"/>
          <w:bCs/>
        </w:rPr>
        <w:t>stewardship</w:t>
      </w:r>
      <w:proofErr w:type="spellEnd"/>
      <w:r w:rsidRPr="00154726">
        <w:rPr>
          <w:rFonts w:cstheme="minorHAnsi"/>
          <w:bCs/>
        </w:rPr>
        <w:t xml:space="preserve"> </w:t>
      </w:r>
      <w:proofErr w:type="spellStart"/>
      <w:r w:rsidRPr="00154726">
        <w:rPr>
          <w:rFonts w:cstheme="minorHAnsi"/>
          <w:bCs/>
        </w:rPr>
        <w:t>theor</w:t>
      </w:r>
      <w:r w:rsidR="00154726" w:rsidRPr="00154726">
        <w:rPr>
          <w:rFonts w:cstheme="minorHAnsi"/>
          <w:bCs/>
        </w:rPr>
        <w:t>y</w:t>
      </w:r>
      <w:proofErr w:type="spellEnd"/>
    </w:p>
    <w:p w14:paraId="66FF9388" w14:textId="24AB97C4" w:rsidR="00315F03" w:rsidRPr="005549F6" w:rsidRDefault="00795D28" w:rsidP="00932E08">
      <w:pPr>
        <w:jc w:val="both"/>
        <w:rPr>
          <w:rFonts w:cstheme="minorHAnsi"/>
          <w:bCs/>
        </w:rPr>
      </w:pPr>
      <w:r w:rsidRPr="00154726">
        <w:rPr>
          <w:rFonts w:cstheme="minorHAnsi"/>
          <w:bCs/>
        </w:rPr>
        <w:lastRenderedPageBreak/>
        <w:t xml:space="preserve"> </w:t>
      </w:r>
      <w:r w:rsidR="00AB75A3" w:rsidRPr="008E25F4">
        <w:rPr>
          <w:rFonts w:cstheme="minorHAnsi"/>
        </w:rPr>
        <w:t>L</w:t>
      </w:r>
      <w:r w:rsidR="00C2791E" w:rsidRPr="008E25F4">
        <w:rPr>
          <w:rFonts w:cstheme="minorHAnsi"/>
        </w:rPr>
        <w:t xml:space="preserve">a </w:t>
      </w:r>
      <w:r w:rsidR="00AB75A3" w:rsidRPr="008E25F4">
        <w:rPr>
          <w:rFonts w:cstheme="minorHAnsi"/>
        </w:rPr>
        <w:t xml:space="preserve">comptabilité publique a </w:t>
      </w:r>
      <w:r w:rsidR="002874DE" w:rsidRPr="008E25F4">
        <w:rPr>
          <w:rFonts w:cstheme="minorHAnsi"/>
        </w:rPr>
        <w:t xml:space="preserve">beaucoup </w:t>
      </w:r>
      <w:r w:rsidR="00AB75A3" w:rsidRPr="008E25F4">
        <w:rPr>
          <w:rFonts w:cstheme="minorHAnsi"/>
        </w:rPr>
        <w:t xml:space="preserve">évolué au cours des </w:t>
      </w:r>
      <w:r w:rsidR="002874DE" w:rsidRPr="008E25F4">
        <w:rPr>
          <w:rFonts w:cstheme="minorHAnsi"/>
        </w:rPr>
        <w:t xml:space="preserve">vingt-cinq </w:t>
      </w:r>
      <w:r w:rsidR="00AB75A3" w:rsidRPr="008E25F4">
        <w:rPr>
          <w:rFonts w:cstheme="minorHAnsi"/>
        </w:rPr>
        <w:t xml:space="preserve">dernières </w:t>
      </w:r>
      <w:r w:rsidR="00A34B26" w:rsidRPr="008E25F4">
        <w:rPr>
          <w:rFonts w:cstheme="minorHAnsi"/>
        </w:rPr>
        <w:t>années</w:t>
      </w:r>
      <w:r w:rsidR="00AB75A3" w:rsidRPr="008E25F4">
        <w:rPr>
          <w:rFonts w:cstheme="minorHAnsi"/>
        </w:rPr>
        <w:t xml:space="preserve">. Cette évolution </w:t>
      </w:r>
      <w:r w:rsidR="002874DE" w:rsidRPr="008E25F4">
        <w:rPr>
          <w:rFonts w:cstheme="minorHAnsi"/>
        </w:rPr>
        <w:t>est marquée par un fort rapprochement avec la comptabilité privée</w:t>
      </w:r>
      <w:r w:rsidR="00A34B26" w:rsidRPr="008E25F4">
        <w:rPr>
          <w:rFonts w:cstheme="minorHAnsi"/>
        </w:rPr>
        <w:t xml:space="preserve"> concrétisé</w:t>
      </w:r>
      <w:r w:rsidR="00AE5514" w:rsidRPr="008E25F4">
        <w:rPr>
          <w:rFonts w:cstheme="minorHAnsi"/>
        </w:rPr>
        <w:t xml:space="preserve"> </w:t>
      </w:r>
      <w:r w:rsidR="00D866FC" w:rsidRPr="008E25F4">
        <w:rPr>
          <w:rFonts w:cstheme="minorHAnsi"/>
        </w:rPr>
        <w:t>par</w:t>
      </w:r>
      <w:r w:rsidR="00AE5514" w:rsidRPr="008E25F4">
        <w:rPr>
          <w:rFonts w:cstheme="minorHAnsi"/>
        </w:rPr>
        <w:t xml:space="preserve"> l’instauration</w:t>
      </w:r>
      <w:r w:rsidR="00D866FC" w:rsidRPr="008E25F4">
        <w:rPr>
          <w:rFonts w:cstheme="minorHAnsi"/>
        </w:rPr>
        <w:t xml:space="preserve">, en </w:t>
      </w:r>
      <w:r w:rsidR="008B4EA7" w:rsidRPr="008E25F4">
        <w:rPr>
          <w:rFonts w:cstheme="minorHAnsi"/>
        </w:rPr>
        <w:t>Collectivité</w:t>
      </w:r>
      <w:r w:rsidR="00D866FC" w:rsidRPr="008E25F4">
        <w:rPr>
          <w:rFonts w:cstheme="minorHAnsi"/>
        </w:rPr>
        <w:t xml:space="preserve">s </w:t>
      </w:r>
      <w:r w:rsidR="008B4EA7" w:rsidRPr="008E25F4">
        <w:rPr>
          <w:rFonts w:cstheme="minorHAnsi"/>
        </w:rPr>
        <w:t>Territoriale</w:t>
      </w:r>
      <w:r w:rsidR="00D866FC" w:rsidRPr="008E25F4">
        <w:rPr>
          <w:rFonts w:cstheme="minorHAnsi"/>
        </w:rPr>
        <w:t>s</w:t>
      </w:r>
      <w:r w:rsidR="00431EC1" w:rsidRPr="008E25F4">
        <w:rPr>
          <w:rFonts w:cstheme="minorHAnsi"/>
        </w:rPr>
        <w:t xml:space="preserve"> (CT)</w:t>
      </w:r>
      <w:r w:rsidR="00D866FC" w:rsidRPr="008E25F4">
        <w:rPr>
          <w:rFonts w:cstheme="minorHAnsi"/>
        </w:rPr>
        <w:t xml:space="preserve">, </w:t>
      </w:r>
      <w:r w:rsidR="00AE5514" w:rsidRPr="008E25F4">
        <w:rPr>
          <w:rFonts w:cstheme="minorHAnsi"/>
        </w:rPr>
        <w:t>d</w:t>
      </w:r>
      <w:r w:rsidR="0012710A" w:rsidRPr="008E25F4">
        <w:rPr>
          <w:rFonts w:cstheme="minorHAnsi"/>
        </w:rPr>
        <w:t>’instructions budgétaires et comptable</w:t>
      </w:r>
      <w:r w:rsidR="00A34B26" w:rsidRPr="008E25F4">
        <w:rPr>
          <w:rFonts w:cstheme="minorHAnsi"/>
        </w:rPr>
        <w:t>s</w:t>
      </w:r>
      <w:r w:rsidR="0012710A" w:rsidRPr="008E25F4">
        <w:rPr>
          <w:rFonts w:cstheme="minorHAnsi"/>
        </w:rPr>
        <w:t xml:space="preserve"> appelées normes telles que</w:t>
      </w:r>
      <w:r w:rsidR="00AE5514" w:rsidRPr="008E25F4">
        <w:rPr>
          <w:rFonts w:cstheme="minorHAnsi"/>
        </w:rPr>
        <w:t xml:space="preserve"> M14 en communes en 1997, M</w:t>
      </w:r>
      <w:r w:rsidR="0012710A" w:rsidRPr="008E25F4">
        <w:rPr>
          <w:rFonts w:cstheme="minorHAnsi"/>
        </w:rPr>
        <w:t xml:space="preserve">52 en départements </w:t>
      </w:r>
      <w:r w:rsidR="006733B9" w:rsidRPr="008E25F4">
        <w:rPr>
          <w:rFonts w:cstheme="minorHAnsi"/>
        </w:rPr>
        <w:t xml:space="preserve">en 2004 </w:t>
      </w:r>
      <w:r w:rsidR="0012710A" w:rsidRPr="008E25F4">
        <w:rPr>
          <w:rFonts w:cstheme="minorHAnsi"/>
        </w:rPr>
        <w:t xml:space="preserve">et M71 en régions en 2010. </w:t>
      </w:r>
      <w:r w:rsidR="00E11F2B" w:rsidRPr="008E25F4">
        <w:rPr>
          <w:rFonts w:cstheme="minorHAnsi"/>
        </w:rPr>
        <w:t xml:space="preserve">D’une définition </w:t>
      </w:r>
      <w:r w:rsidR="002874DE" w:rsidRPr="008E25F4">
        <w:rPr>
          <w:rFonts w:cstheme="minorHAnsi"/>
        </w:rPr>
        <w:t xml:space="preserve">à connotation juridique </w:t>
      </w:r>
      <w:r w:rsidR="003E16BE" w:rsidRPr="008E25F4">
        <w:rPr>
          <w:rFonts w:cstheme="minorHAnsi"/>
        </w:rPr>
        <w:t>comme</w:t>
      </w:r>
      <w:r w:rsidR="002874DE" w:rsidRPr="008E25F4">
        <w:rPr>
          <w:rFonts w:cstheme="minorHAnsi"/>
        </w:rPr>
        <w:t xml:space="preserve"> </w:t>
      </w:r>
      <w:r w:rsidR="00D866FC" w:rsidRPr="008E25F4">
        <w:rPr>
          <w:rFonts w:cstheme="minorHAnsi"/>
        </w:rPr>
        <w:t xml:space="preserve">celle </w:t>
      </w:r>
      <w:r w:rsidR="00E11F2B" w:rsidRPr="008E25F4">
        <w:rPr>
          <w:rFonts w:cstheme="minorHAnsi"/>
        </w:rPr>
        <w:t>donnée</w:t>
      </w:r>
      <w:r w:rsidR="007C0405" w:rsidRPr="008E25F4">
        <w:rPr>
          <w:rFonts w:cstheme="minorHAnsi"/>
        </w:rPr>
        <w:t xml:space="preserve"> </w:t>
      </w:r>
      <w:r w:rsidR="00115A90" w:rsidRPr="008E25F4">
        <w:rPr>
          <w:rFonts w:cstheme="minorHAnsi"/>
        </w:rPr>
        <w:t xml:space="preserve">par Prada </w:t>
      </w:r>
      <w:r w:rsidR="00E11F2B" w:rsidRPr="008E25F4">
        <w:rPr>
          <w:rFonts w:cstheme="minorHAnsi"/>
        </w:rPr>
        <w:t xml:space="preserve">et </w:t>
      </w:r>
      <w:proofErr w:type="spellStart"/>
      <w:r w:rsidR="00E11F2B" w:rsidRPr="008E25F4">
        <w:rPr>
          <w:rFonts w:cstheme="minorHAnsi"/>
        </w:rPr>
        <w:t>Sonrier</w:t>
      </w:r>
      <w:proofErr w:type="spellEnd"/>
      <w:r w:rsidR="00E11F2B" w:rsidRPr="008E25F4">
        <w:rPr>
          <w:rFonts w:cstheme="minorHAnsi"/>
        </w:rPr>
        <w:t xml:space="preserve"> (1985)</w:t>
      </w:r>
      <w:r w:rsidR="008D5C1C" w:rsidRPr="008E25F4">
        <w:rPr>
          <w:rStyle w:val="Appelnotedebasdep"/>
          <w:rFonts w:cstheme="minorHAnsi"/>
        </w:rPr>
        <w:footnoteReference w:id="2"/>
      </w:r>
      <w:r w:rsidR="00E11F2B" w:rsidRPr="008E25F4">
        <w:rPr>
          <w:rFonts w:cstheme="minorHAnsi"/>
        </w:rPr>
        <w:t xml:space="preserve"> -</w:t>
      </w:r>
      <w:r w:rsidR="007C0405" w:rsidRPr="008E25F4">
        <w:rPr>
          <w:rFonts w:cstheme="minorHAnsi"/>
        </w:rPr>
        <w:t>régime juridique spécifique concernant les procédures d’exécution du budge</w:t>
      </w:r>
      <w:r w:rsidR="00E11F2B" w:rsidRPr="008E25F4">
        <w:rPr>
          <w:rFonts w:cstheme="minorHAnsi"/>
        </w:rPr>
        <w:t>t-, l</w:t>
      </w:r>
      <w:r w:rsidR="00FC3089">
        <w:rPr>
          <w:rFonts w:cstheme="minorHAnsi"/>
        </w:rPr>
        <w:t>e</w:t>
      </w:r>
      <w:r w:rsidR="007C0405" w:rsidRPr="008E25F4">
        <w:rPr>
          <w:rFonts w:cstheme="minorHAnsi"/>
        </w:rPr>
        <w:t xml:space="preserve"> décret </w:t>
      </w:r>
      <w:r w:rsidR="00FB4566" w:rsidRPr="008E25F4">
        <w:rPr>
          <w:rFonts w:cstheme="minorHAnsi"/>
        </w:rPr>
        <w:t>n</w:t>
      </w:r>
      <w:r w:rsidR="00FB4566" w:rsidRPr="008E25F4">
        <w:rPr>
          <w:rFonts w:cstheme="minorHAnsi"/>
          <w:vertAlign w:val="superscript"/>
        </w:rPr>
        <w:t>o</w:t>
      </w:r>
      <w:r w:rsidR="00FB4566" w:rsidRPr="008E25F4">
        <w:rPr>
          <w:rFonts w:cstheme="minorHAnsi"/>
        </w:rPr>
        <w:t xml:space="preserve"> 2012-1246 </w:t>
      </w:r>
      <w:r w:rsidR="007C0405" w:rsidRPr="008E25F4">
        <w:rPr>
          <w:rFonts w:cstheme="minorHAnsi"/>
        </w:rPr>
        <w:t>du 7 novembre 2012</w:t>
      </w:r>
      <w:r w:rsidR="008D43A5" w:rsidRPr="008E25F4">
        <w:rPr>
          <w:rStyle w:val="Appelnotedebasdep"/>
          <w:rFonts w:cstheme="minorHAnsi"/>
        </w:rPr>
        <w:t xml:space="preserve"> </w:t>
      </w:r>
      <w:r w:rsidR="008D43A5" w:rsidRPr="008E25F4">
        <w:rPr>
          <w:rFonts w:cstheme="minorHAnsi"/>
        </w:rPr>
        <w:t xml:space="preserve"> modifié par le Décret n° 2018-803 du 24 septembre 2018</w:t>
      </w:r>
      <w:r w:rsidR="007C0405" w:rsidRPr="008E25F4">
        <w:rPr>
          <w:rFonts w:cstheme="minorHAnsi"/>
        </w:rPr>
        <w:t xml:space="preserve"> relatif à la gestion budgétaire et comptable publique (GBCP) la définit comme un système d’organisation de l’information financière, conformément aux dispositions du Plan Comptable Général.</w:t>
      </w:r>
      <w:r w:rsidR="002874DE" w:rsidRPr="008E25F4">
        <w:rPr>
          <w:rFonts w:cstheme="minorHAnsi"/>
        </w:rPr>
        <w:t xml:space="preserve"> Cette nouvelle définition révèle une prise de conscience de son rôle et de son intérêt pour les différentes parties prenantes à la gestion publique</w:t>
      </w:r>
      <w:r w:rsidR="003E16BE" w:rsidRPr="008E25F4">
        <w:rPr>
          <w:rFonts w:cstheme="minorHAnsi"/>
        </w:rPr>
        <w:t xml:space="preserve">, la comptabilité n’a pas </w:t>
      </w:r>
      <w:r w:rsidR="00A34B26" w:rsidRPr="008E25F4">
        <w:rPr>
          <w:rFonts w:cstheme="minorHAnsi"/>
        </w:rPr>
        <w:t xml:space="preserve">pour unique </w:t>
      </w:r>
      <w:r w:rsidR="003E16BE" w:rsidRPr="008E25F4">
        <w:rPr>
          <w:rFonts w:cstheme="minorHAnsi"/>
        </w:rPr>
        <w:t xml:space="preserve">vocation </w:t>
      </w:r>
      <w:r w:rsidR="00A34B26" w:rsidRPr="008E25F4">
        <w:rPr>
          <w:rFonts w:cstheme="minorHAnsi"/>
        </w:rPr>
        <w:t>de</w:t>
      </w:r>
      <w:r w:rsidR="003E16BE" w:rsidRPr="008E25F4">
        <w:rPr>
          <w:rFonts w:cstheme="minorHAnsi"/>
        </w:rPr>
        <w:t xml:space="preserve"> retracer le budget mais elle a une fonction d’information sur l’état financier de la </w:t>
      </w:r>
      <w:r w:rsidR="008B4EA7" w:rsidRPr="008E25F4">
        <w:rPr>
          <w:rFonts w:cstheme="minorHAnsi"/>
        </w:rPr>
        <w:t>C</w:t>
      </w:r>
      <w:r w:rsidR="00431EC1" w:rsidRPr="008E25F4">
        <w:rPr>
          <w:rFonts w:cstheme="minorHAnsi"/>
        </w:rPr>
        <w:t>T</w:t>
      </w:r>
      <w:r w:rsidR="003E16BE" w:rsidRPr="008E25F4">
        <w:rPr>
          <w:rFonts w:cstheme="minorHAnsi"/>
        </w:rPr>
        <w:t>.</w:t>
      </w:r>
      <w:r w:rsidR="0012710A" w:rsidRPr="008E25F4">
        <w:rPr>
          <w:rFonts w:cstheme="minorHAnsi"/>
        </w:rPr>
        <w:t xml:space="preserve"> </w:t>
      </w:r>
      <w:r w:rsidR="00315F03" w:rsidRPr="008E25F4">
        <w:rPr>
          <w:rFonts w:cstheme="minorHAnsi"/>
        </w:rPr>
        <w:t xml:space="preserve">Selon </w:t>
      </w:r>
      <w:proofErr w:type="spellStart"/>
      <w:r w:rsidR="00315F03" w:rsidRPr="008E25F4">
        <w:rPr>
          <w:rFonts w:cstheme="minorHAnsi"/>
        </w:rPr>
        <w:t>Pras</w:t>
      </w:r>
      <w:proofErr w:type="spellEnd"/>
      <w:r w:rsidR="00315F03" w:rsidRPr="008E25F4">
        <w:rPr>
          <w:rFonts w:cstheme="minorHAnsi"/>
        </w:rPr>
        <w:t xml:space="preserve"> et </w:t>
      </w:r>
      <w:proofErr w:type="spellStart"/>
      <w:r w:rsidR="00315F03" w:rsidRPr="008E25F4">
        <w:rPr>
          <w:rFonts w:cstheme="minorHAnsi"/>
        </w:rPr>
        <w:t>Zarlowski</w:t>
      </w:r>
      <w:proofErr w:type="spellEnd"/>
      <w:r w:rsidR="00315F03" w:rsidRPr="008E25F4">
        <w:rPr>
          <w:rFonts w:cstheme="minorHAnsi"/>
        </w:rPr>
        <w:t xml:space="preserve"> (2013, p. 14), l’obligation de rendre des comptes</w:t>
      </w:r>
      <w:r w:rsidR="00FC3089">
        <w:rPr>
          <w:rFonts w:cstheme="minorHAnsi"/>
        </w:rPr>
        <w:t xml:space="preserve">, </w:t>
      </w:r>
      <w:proofErr w:type="spellStart"/>
      <w:r w:rsidR="00315F03" w:rsidRPr="008E25F4">
        <w:rPr>
          <w:rFonts w:cstheme="minorHAnsi"/>
          <w:i/>
          <w:iCs/>
        </w:rPr>
        <w:t>accountability</w:t>
      </w:r>
      <w:proofErr w:type="spellEnd"/>
      <w:r w:rsidR="00FC3089">
        <w:rPr>
          <w:rFonts w:cstheme="minorHAnsi"/>
          <w:i/>
          <w:iCs/>
        </w:rPr>
        <w:t>,</w:t>
      </w:r>
      <w:r w:rsidR="00315F03" w:rsidRPr="008E25F4">
        <w:rPr>
          <w:rFonts w:cstheme="minorHAnsi"/>
        </w:rPr>
        <w:t xml:space="preserve"> recouvre la reddition des comptes, la responsabilité et la transparence et serait « une philosophie du vivre ensemble, un impératif de justification de sa conduite ». La reddition serait un moyen pour construire la confiance, la crédibilité et la réputation (</w:t>
      </w:r>
      <w:proofErr w:type="spellStart"/>
      <w:r w:rsidR="00315F03" w:rsidRPr="008E25F4">
        <w:rPr>
          <w:rFonts w:cstheme="minorHAnsi"/>
        </w:rPr>
        <w:t>Schillemans</w:t>
      </w:r>
      <w:proofErr w:type="spellEnd"/>
      <w:r w:rsidR="00315F03" w:rsidRPr="008E25F4">
        <w:rPr>
          <w:rFonts w:cstheme="minorHAnsi"/>
        </w:rPr>
        <w:t xml:space="preserve"> et </w:t>
      </w:r>
      <w:proofErr w:type="spellStart"/>
      <w:r w:rsidR="00315F03" w:rsidRPr="008E25F4">
        <w:rPr>
          <w:rFonts w:cstheme="minorHAnsi"/>
        </w:rPr>
        <w:t>Busuioc</w:t>
      </w:r>
      <w:proofErr w:type="spellEnd"/>
      <w:r w:rsidR="00315F03" w:rsidRPr="008E25F4">
        <w:rPr>
          <w:rFonts w:cstheme="minorHAnsi"/>
        </w:rPr>
        <w:t xml:space="preserve"> 2015</w:t>
      </w:r>
      <w:r w:rsidR="00910532" w:rsidRPr="008E25F4">
        <w:rPr>
          <w:rFonts w:cstheme="minorHAnsi"/>
        </w:rPr>
        <w:t xml:space="preserve">, </w:t>
      </w:r>
      <w:r w:rsidR="00C109AA" w:rsidRPr="008E25F4">
        <w:rPr>
          <w:rFonts w:cstheme="minorHAnsi"/>
        </w:rPr>
        <w:t>p 210</w:t>
      </w:r>
      <w:r w:rsidR="00315F03" w:rsidRPr="008E25F4">
        <w:rPr>
          <w:rFonts w:cstheme="minorHAnsi"/>
        </w:rPr>
        <w:t>). Pour Dreyfus (2016</w:t>
      </w:r>
      <w:r w:rsidR="00D423D8" w:rsidRPr="008E25F4">
        <w:rPr>
          <w:rFonts w:cstheme="minorHAnsi"/>
        </w:rPr>
        <w:t>, p 1012</w:t>
      </w:r>
      <w:r w:rsidR="00315F03" w:rsidRPr="008E25F4">
        <w:rPr>
          <w:rFonts w:cstheme="minorHAnsi"/>
        </w:rPr>
        <w:t xml:space="preserve">), rendre compte consiste à informer les citoyens de façon claire sur l’utilité des impôts consentis mais aussi sur l’effectivité de leur usage.  </w:t>
      </w:r>
    </w:p>
    <w:p w14:paraId="75CBAB3C" w14:textId="544268F1" w:rsidR="0038017F" w:rsidRPr="008E25F4" w:rsidRDefault="0012710A" w:rsidP="00932E08">
      <w:pPr>
        <w:jc w:val="both"/>
        <w:rPr>
          <w:rFonts w:cstheme="minorHAnsi"/>
        </w:rPr>
      </w:pPr>
      <w:r w:rsidRPr="008E25F4">
        <w:rPr>
          <w:rFonts w:cstheme="minorHAnsi"/>
        </w:rPr>
        <w:t>L</w:t>
      </w:r>
      <w:r w:rsidR="003E16BE" w:rsidRPr="008E25F4">
        <w:rPr>
          <w:rFonts w:cstheme="minorHAnsi"/>
        </w:rPr>
        <w:t>a création du</w:t>
      </w:r>
      <w:r w:rsidRPr="008E25F4">
        <w:rPr>
          <w:rFonts w:cstheme="minorHAnsi"/>
        </w:rPr>
        <w:t xml:space="preserve"> </w:t>
      </w:r>
      <w:proofErr w:type="spellStart"/>
      <w:r w:rsidRPr="008E25F4">
        <w:rPr>
          <w:rFonts w:cstheme="minorHAnsi"/>
        </w:rPr>
        <w:t>CNoCP</w:t>
      </w:r>
      <w:proofErr w:type="spellEnd"/>
      <w:r w:rsidRPr="008E25F4">
        <w:rPr>
          <w:rFonts w:cstheme="minorHAnsi"/>
        </w:rPr>
        <w:t xml:space="preserve"> (Conseil de normalisation des comptes publics) </w:t>
      </w:r>
      <w:r w:rsidR="003E16BE" w:rsidRPr="008E25F4">
        <w:rPr>
          <w:rFonts w:cstheme="minorHAnsi"/>
        </w:rPr>
        <w:t>en</w:t>
      </w:r>
      <w:r w:rsidRPr="008E25F4">
        <w:rPr>
          <w:rFonts w:cstheme="minorHAnsi"/>
        </w:rPr>
        <w:t xml:space="preserve"> 2008, </w:t>
      </w:r>
      <w:r w:rsidR="003E16BE" w:rsidRPr="008E25F4">
        <w:rPr>
          <w:rFonts w:cstheme="minorHAnsi"/>
        </w:rPr>
        <w:t xml:space="preserve">montre l’existence d’une préoccupation </w:t>
      </w:r>
      <w:r w:rsidR="005C2E19" w:rsidRPr="008E25F4">
        <w:rPr>
          <w:rFonts w:cstheme="minorHAnsi"/>
        </w:rPr>
        <w:t>des pouvoirs publics d’aboutir à un système unifié de comptabilité publique</w:t>
      </w:r>
      <w:r w:rsidRPr="008E25F4">
        <w:rPr>
          <w:rFonts w:cstheme="minorHAnsi"/>
        </w:rPr>
        <w:t xml:space="preserve">. Il a un rôle consultatif auprès du ministre chargé du budget et du ministre compétent (en l’occurrence celui des </w:t>
      </w:r>
      <w:r w:rsidR="008B4EA7" w:rsidRPr="008E25F4">
        <w:rPr>
          <w:rFonts w:cstheme="minorHAnsi"/>
        </w:rPr>
        <w:t>C</w:t>
      </w:r>
      <w:r w:rsidR="00431EC1" w:rsidRPr="008E25F4">
        <w:rPr>
          <w:rFonts w:cstheme="minorHAnsi"/>
        </w:rPr>
        <w:t>T</w:t>
      </w:r>
      <w:r w:rsidRPr="008E25F4">
        <w:rPr>
          <w:rFonts w:cstheme="minorHAnsi"/>
        </w:rPr>
        <w:t xml:space="preserve">) quant aux normes comptables à appliquer. </w:t>
      </w:r>
      <w:r w:rsidR="00D866FC" w:rsidRPr="008E25F4">
        <w:rPr>
          <w:rFonts w:cstheme="minorHAnsi"/>
        </w:rPr>
        <w:t>Il est</w:t>
      </w:r>
      <w:r w:rsidR="00810702" w:rsidRPr="008E25F4">
        <w:rPr>
          <w:rFonts w:cstheme="minorHAnsi"/>
        </w:rPr>
        <w:t xml:space="preserve"> </w:t>
      </w:r>
      <w:r w:rsidR="00D866FC" w:rsidRPr="008E25F4">
        <w:rPr>
          <w:rFonts w:cstheme="minorHAnsi"/>
        </w:rPr>
        <w:t xml:space="preserve">chargé d’assurer une convergence entre comptabilité générale publique et comptabilité générale privée tout en intégrant les spécificités du secteur public. </w:t>
      </w:r>
      <w:r w:rsidR="005C2E19" w:rsidRPr="008E25F4">
        <w:rPr>
          <w:rFonts w:cstheme="minorHAnsi"/>
        </w:rPr>
        <w:t xml:space="preserve">L’évolution de la comptabilité publique se caractérise aussi par l’introduction de la certification des comptes. </w:t>
      </w:r>
      <w:r w:rsidR="00D92622" w:rsidRPr="008E25F4">
        <w:rPr>
          <w:rFonts w:cstheme="minorHAnsi"/>
        </w:rPr>
        <w:t>La loi organique relative aux lois de finances (LOLF, 2001) a initié la certification des comptes au niveau de l’Etat, par la Cour des Comptes</w:t>
      </w:r>
      <w:r w:rsidR="00DD483D" w:rsidRPr="008E25F4">
        <w:rPr>
          <w:rFonts w:cstheme="minorHAnsi"/>
        </w:rPr>
        <w:t xml:space="preserve"> (C des C)</w:t>
      </w:r>
      <w:r w:rsidR="00D92622" w:rsidRPr="008E25F4">
        <w:rPr>
          <w:rFonts w:cstheme="minorHAnsi"/>
        </w:rPr>
        <w:t>, suivi</w:t>
      </w:r>
      <w:r w:rsidR="00FB2970">
        <w:rPr>
          <w:rFonts w:cstheme="minorHAnsi"/>
        </w:rPr>
        <w:t>e</w:t>
      </w:r>
      <w:r w:rsidR="00D92622" w:rsidRPr="008E25F4">
        <w:rPr>
          <w:rFonts w:cstheme="minorHAnsi"/>
        </w:rPr>
        <w:t xml:space="preserve"> par celle des établissements publics de l’Etat (2003), celle des comptes de la Sécurité Sociale (LOLFSS, 2005</w:t>
      </w:r>
      <w:r w:rsidR="00DD483D" w:rsidRPr="008E25F4">
        <w:rPr>
          <w:rFonts w:cstheme="minorHAnsi"/>
        </w:rPr>
        <w:t xml:space="preserve">), des universités (LRU, 2007) et </w:t>
      </w:r>
      <w:r w:rsidR="00E36625" w:rsidRPr="008E25F4">
        <w:rPr>
          <w:rFonts w:cstheme="minorHAnsi"/>
        </w:rPr>
        <w:t xml:space="preserve">des grands établissements publics de santé (2009). C’est la </w:t>
      </w:r>
      <w:bookmarkStart w:id="0" w:name="_Hlk37083736"/>
      <w:r w:rsidR="00E36625" w:rsidRPr="008E25F4">
        <w:rPr>
          <w:rFonts w:cstheme="minorHAnsi"/>
        </w:rPr>
        <w:t>l</w:t>
      </w:r>
      <w:r w:rsidR="000D1D52" w:rsidRPr="008E25F4">
        <w:rPr>
          <w:rFonts w:cstheme="minorHAnsi"/>
        </w:rPr>
        <w:t xml:space="preserve">oi </w:t>
      </w:r>
      <w:proofErr w:type="spellStart"/>
      <w:r w:rsidR="000D1D52" w:rsidRPr="008E25F4">
        <w:rPr>
          <w:rFonts w:cstheme="minorHAnsi"/>
        </w:rPr>
        <w:t>NOTRe</w:t>
      </w:r>
      <w:proofErr w:type="spellEnd"/>
      <w:r w:rsidR="000D1D52" w:rsidRPr="008E25F4">
        <w:rPr>
          <w:rFonts w:cstheme="minorHAnsi"/>
        </w:rPr>
        <w:t xml:space="preserve"> du 7 août 2015 </w:t>
      </w:r>
      <w:bookmarkEnd w:id="0"/>
      <w:r w:rsidR="000D1D52" w:rsidRPr="008E25F4">
        <w:rPr>
          <w:rFonts w:cstheme="minorHAnsi"/>
        </w:rPr>
        <w:t xml:space="preserve">sur la « Nouvelle Organisation </w:t>
      </w:r>
      <w:r w:rsidR="008B4EA7" w:rsidRPr="008E25F4">
        <w:rPr>
          <w:rFonts w:cstheme="minorHAnsi"/>
        </w:rPr>
        <w:t>Territoriale</w:t>
      </w:r>
      <w:r w:rsidR="000D1D52" w:rsidRPr="008E25F4">
        <w:rPr>
          <w:rFonts w:cstheme="minorHAnsi"/>
        </w:rPr>
        <w:t xml:space="preserve"> de la République » qui prévoit une expérimentation de 5 ans de la certification des comptes des administrations publiques locales, supervisée par la C des C</w:t>
      </w:r>
      <w:r w:rsidR="00E91D2C" w:rsidRPr="008E25F4">
        <w:rPr>
          <w:rFonts w:cstheme="minorHAnsi"/>
        </w:rPr>
        <w:t xml:space="preserve"> et réalisée par des auditeurs indépendants</w:t>
      </w:r>
      <w:r w:rsidR="008D67AA" w:rsidRPr="008E25F4">
        <w:rPr>
          <w:rFonts w:cstheme="minorHAnsi"/>
        </w:rPr>
        <w:t xml:space="preserve">. </w:t>
      </w:r>
      <w:r w:rsidR="00E11F2B" w:rsidRPr="008E25F4">
        <w:rPr>
          <w:rFonts w:cstheme="minorHAnsi"/>
        </w:rPr>
        <w:t>Vingt</w:t>
      </w:r>
      <w:r w:rsidR="00A66A1B" w:rsidRPr="008E25F4">
        <w:rPr>
          <w:rFonts w:cstheme="minorHAnsi"/>
        </w:rPr>
        <w:t>-</w:t>
      </w:r>
      <w:r w:rsidR="00E11F2B" w:rsidRPr="008E25F4">
        <w:rPr>
          <w:rFonts w:cstheme="minorHAnsi"/>
        </w:rPr>
        <w:t>cinq</w:t>
      </w:r>
      <w:r w:rsidR="001E11D0" w:rsidRPr="008E25F4">
        <w:rPr>
          <w:rFonts w:cstheme="minorHAnsi"/>
        </w:rPr>
        <w:t xml:space="preserve"> </w:t>
      </w:r>
      <w:r w:rsidR="008B4EA7" w:rsidRPr="008E25F4">
        <w:rPr>
          <w:rFonts w:cstheme="minorHAnsi"/>
        </w:rPr>
        <w:t>C</w:t>
      </w:r>
      <w:r w:rsidR="007749FD" w:rsidRPr="008E25F4">
        <w:rPr>
          <w:rFonts w:cstheme="minorHAnsi"/>
        </w:rPr>
        <w:t>T</w:t>
      </w:r>
      <w:r w:rsidR="001E11D0" w:rsidRPr="008E25F4">
        <w:rPr>
          <w:rFonts w:cstheme="minorHAnsi"/>
        </w:rPr>
        <w:t>, sur la base du volontariat, ex</w:t>
      </w:r>
      <w:r w:rsidR="00A66A1B" w:rsidRPr="008E25F4">
        <w:rPr>
          <w:rFonts w:cstheme="minorHAnsi"/>
        </w:rPr>
        <w:t>périmentent la certification : l</w:t>
      </w:r>
      <w:r w:rsidR="001E11D0" w:rsidRPr="008E25F4">
        <w:rPr>
          <w:rFonts w:cstheme="minorHAnsi"/>
        </w:rPr>
        <w:t xml:space="preserve">a C des C </w:t>
      </w:r>
      <w:r w:rsidR="00A66A1B" w:rsidRPr="008E25F4">
        <w:rPr>
          <w:rFonts w:cstheme="minorHAnsi"/>
        </w:rPr>
        <w:t>a établi un diagnostic global d’entrée en 2017 qui a abouti</w:t>
      </w:r>
      <w:r w:rsidR="00667471" w:rsidRPr="008E25F4">
        <w:rPr>
          <w:rFonts w:cstheme="minorHAnsi"/>
        </w:rPr>
        <w:t xml:space="preserve"> à des recommandations pour </w:t>
      </w:r>
      <w:r w:rsidR="001E11D0" w:rsidRPr="008E25F4">
        <w:rPr>
          <w:rFonts w:cstheme="minorHAnsi"/>
        </w:rPr>
        <w:t xml:space="preserve">chaque entité </w:t>
      </w:r>
      <w:r w:rsidR="008C28C6" w:rsidRPr="008E25F4">
        <w:rPr>
          <w:rFonts w:cstheme="minorHAnsi"/>
        </w:rPr>
        <w:t xml:space="preserve">quant aux actions à entreprendre pour faciliter la certification des comptes. Au 1/1/2019, ces </w:t>
      </w:r>
      <w:r w:rsidR="008B4EA7" w:rsidRPr="008E25F4">
        <w:rPr>
          <w:rFonts w:cstheme="minorHAnsi"/>
        </w:rPr>
        <w:t>C</w:t>
      </w:r>
      <w:r w:rsidR="007749FD" w:rsidRPr="008E25F4">
        <w:rPr>
          <w:rFonts w:cstheme="minorHAnsi"/>
        </w:rPr>
        <w:t>T</w:t>
      </w:r>
      <w:r w:rsidR="007D618C" w:rsidRPr="008E25F4">
        <w:rPr>
          <w:rFonts w:cstheme="minorHAnsi"/>
        </w:rPr>
        <w:t xml:space="preserve"> </w:t>
      </w:r>
      <w:r w:rsidR="00A66A1B" w:rsidRPr="008E25F4">
        <w:rPr>
          <w:rFonts w:cstheme="minorHAnsi"/>
        </w:rPr>
        <w:t xml:space="preserve">ont adopté </w:t>
      </w:r>
      <w:r w:rsidR="007D618C" w:rsidRPr="008E25F4">
        <w:rPr>
          <w:rFonts w:cstheme="minorHAnsi"/>
        </w:rPr>
        <w:t>l’instruction comptable</w:t>
      </w:r>
      <w:r w:rsidR="001E11D0" w:rsidRPr="008E25F4">
        <w:rPr>
          <w:rFonts w:cstheme="minorHAnsi"/>
        </w:rPr>
        <w:t xml:space="preserve"> M57 et une certification « à blanc » sera établie par des commissaires aux comptes </w:t>
      </w:r>
      <w:r w:rsidR="00FF27BB" w:rsidRPr="008E25F4">
        <w:rPr>
          <w:rFonts w:cstheme="minorHAnsi"/>
        </w:rPr>
        <w:t xml:space="preserve">(C aux C) </w:t>
      </w:r>
      <w:r w:rsidR="001E11D0" w:rsidRPr="008E25F4">
        <w:rPr>
          <w:rFonts w:cstheme="minorHAnsi"/>
        </w:rPr>
        <w:t>pour les exercices 2020, 2021 et 2022. A l’issue de cette période, le Gouvernement devra établir un rapport à transmettre au Parlement sur le</w:t>
      </w:r>
      <w:r w:rsidR="007D618C" w:rsidRPr="008E25F4">
        <w:rPr>
          <w:rFonts w:cstheme="minorHAnsi"/>
        </w:rPr>
        <w:t>s avis des entités concernées,</w:t>
      </w:r>
      <w:r w:rsidR="001E11D0" w:rsidRPr="008E25F4">
        <w:rPr>
          <w:rFonts w:cstheme="minorHAnsi"/>
        </w:rPr>
        <w:t xml:space="preserve"> de la C des </w:t>
      </w:r>
      <w:r w:rsidR="008D67AA" w:rsidRPr="008E25F4">
        <w:rPr>
          <w:rFonts w:cstheme="minorHAnsi"/>
        </w:rPr>
        <w:t>C</w:t>
      </w:r>
      <w:r w:rsidR="007D618C" w:rsidRPr="008E25F4">
        <w:rPr>
          <w:rFonts w:cstheme="minorHAnsi"/>
        </w:rPr>
        <w:t xml:space="preserve"> et des certificateurs indépendants</w:t>
      </w:r>
      <w:r w:rsidR="001E11D0" w:rsidRPr="008E25F4">
        <w:rPr>
          <w:rFonts w:cstheme="minorHAnsi"/>
        </w:rPr>
        <w:t xml:space="preserve">. </w:t>
      </w:r>
      <w:r w:rsidR="008C28C6" w:rsidRPr="008E25F4">
        <w:rPr>
          <w:rFonts w:cstheme="minorHAnsi"/>
        </w:rPr>
        <w:t xml:space="preserve">La certification des comptes des </w:t>
      </w:r>
      <w:r w:rsidR="008B4EA7" w:rsidRPr="008E25F4">
        <w:rPr>
          <w:rFonts w:cstheme="minorHAnsi"/>
        </w:rPr>
        <w:t>C</w:t>
      </w:r>
      <w:r w:rsidR="00431EC1" w:rsidRPr="008E25F4">
        <w:rPr>
          <w:rFonts w:cstheme="minorHAnsi"/>
        </w:rPr>
        <w:t>T</w:t>
      </w:r>
      <w:r w:rsidR="008C28C6" w:rsidRPr="008E25F4">
        <w:rPr>
          <w:rFonts w:cstheme="minorHAnsi"/>
        </w:rPr>
        <w:t xml:space="preserve"> </w:t>
      </w:r>
      <w:r w:rsidR="006733B9" w:rsidRPr="008E25F4">
        <w:rPr>
          <w:rFonts w:cstheme="minorHAnsi"/>
        </w:rPr>
        <w:t>pourr</w:t>
      </w:r>
      <w:r w:rsidR="008C28C6" w:rsidRPr="008E25F4">
        <w:rPr>
          <w:rFonts w:cstheme="minorHAnsi"/>
        </w:rPr>
        <w:t>ait se généraliser</w:t>
      </w:r>
      <w:r w:rsidR="007D618C" w:rsidRPr="008E25F4">
        <w:rPr>
          <w:rFonts w:cstheme="minorHAnsi"/>
        </w:rPr>
        <w:t xml:space="preserve"> ensuite</w:t>
      </w:r>
      <w:r w:rsidR="008C28C6" w:rsidRPr="008E25F4">
        <w:rPr>
          <w:rFonts w:cstheme="minorHAnsi"/>
        </w:rPr>
        <w:t>.</w:t>
      </w:r>
      <w:r w:rsidR="008D67AA" w:rsidRPr="008E25F4">
        <w:rPr>
          <w:rFonts w:cstheme="minorHAnsi"/>
        </w:rPr>
        <w:t xml:space="preserve"> </w:t>
      </w:r>
      <w:r w:rsidR="008C28C6" w:rsidRPr="008E25F4">
        <w:rPr>
          <w:rFonts w:cstheme="minorHAnsi"/>
        </w:rPr>
        <w:t xml:space="preserve">La révision de la Constitution par la loi du 23 juillet 2008 montre que la certification des comptes des administrations publiques devient un enjeu </w:t>
      </w:r>
      <w:r w:rsidR="00A86136" w:rsidRPr="008E25F4">
        <w:rPr>
          <w:rFonts w:cstheme="minorHAnsi"/>
        </w:rPr>
        <w:t>juridique national</w:t>
      </w:r>
      <w:r w:rsidR="007D618C" w:rsidRPr="008E25F4">
        <w:rPr>
          <w:rFonts w:cstheme="minorHAnsi"/>
        </w:rPr>
        <w:t> : « les comptes des administrations publiques sont réguliers et sincères, ils donnent une image fidèle du résultat de leur gestion, de leur patrimoine et de leur situation financière ».</w:t>
      </w:r>
      <w:r w:rsidR="00A66A1B" w:rsidRPr="008E25F4">
        <w:rPr>
          <w:rFonts w:cstheme="minorHAnsi"/>
        </w:rPr>
        <w:t xml:space="preserve"> </w:t>
      </w:r>
      <w:r w:rsidR="007D618C" w:rsidRPr="008E25F4">
        <w:rPr>
          <w:rFonts w:cstheme="minorHAnsi"/>
        </w:rPr>
        <w:t xml:space="preserve">Déjà en 1996, </w:t>
      </w:r>
      <w:r w:rsidR="006464C1" w:rsidRPr="008E25F4">
        <w:rPr>
          <w:rFonts w:cstheme="minorHAnsi"/>
        </w:rPr>
        <w:t xml:space="preserve">le Conseil de l’Union Européenne, par son règlement 2223/96, recommandait une dynamique de transparence pour tous les comptes publics des états. Sa directive n°2011/85 du 8 novembre 2011 mentionne que les systèmes de comptabilité publique fassent l’objet d’un contrôle interne et d’un audit indépendant. </w:t>
      </w:r>
      <w:r w:rsidR="00450ABA" w:rsidRPr="008E25F4">
        <w:rPr>
          <w:rFonts w:cstheme="minorHAnsi"/>
        </w:rPr>
        <w:t xml:space="preserve">Le </w:t>
      </w:r>
      <w:bookmarkStart w:id="1" w:name="_Hlk37083668"/>
      <w:r w:rsidR="00450ABA" w:rsidRPr="008E25F4">
        <w:rPr>
          <w:rFonts w:cstheme="minorHAnsi"/>
        </w:rPr>
        <w:t>décret n</w:t>
      </w:r>
      <w:r w:rsidR="00450ABA" w:rsidRPr="008E25F4">
        <w:rPr>
          <w:rFonts w:cstheme="minorHAnsi"/>
          <w:vertAlign w:val="superscript"/>
        </w:rPr>
        <w:t>o</w:t>
      </w:r>
      <w:r w:rsidR="00450ABA" w:rsidRPr="008E25F4">
        <w:rPr>
          <w:rFonts w:cstheme="minorHAnsi"/>
        </w:rPr>
        <w:t xml:space="preserve"> 2012-1246 du 7 novembre 2012 </w:t>
      </w:r>
      <w:bookmarkEnd w:id="1"/>
      <w:r w:rsidR="00450ABA" w:rsidRPr="008E25F4">
        <w:rPr>
          <w:rFonts w:cstheme="minorHAnsi"/>
        </w:rPr>
        <w:t xml:space="preserve">relatif à la gestion budgétaire et comptable publique (GBCP) stipule que le comptable « ne procèdera à l'exécution comptable qu'après avoir réalisé un </w:t>
      </w:r>
      <w:r w:rsidR="00450ABA" w:rsidRPr="008E25F4">
        <w:rPr>
          <w:rFonts w:cstheme="minorHAnsi"/>
          <w:bCs/>
        </w:rPr>
        <w:t>contrôle de régularité</w:t>
      </w:r>
      <w:r w:rsidR="00450ABA" w:rsidRPr="008E25F4">
        <w:rPr>
          <w:rFonts w:cstheme="minorHAnsi"/>
        </w:rPr>
        <w:t xml:space="preserve"> d</w:t>
      </w:r>
      <w:r w:rsidR="00A66A1B" w:rsidRPr="008E25F4">
        <w:rPr>
          <w:rFonts w:cstheme="minorHAnsi"/>
        </w:rPr>
        <w:t>e la dépense ou de la recette ».</w:t>
      </w:r>
      <w:r w:rsidR="00A77897" w:rsidRPr="008E25F4">
        <w:rPr>
          <w:rFonts w:cstheme="minorHAnsi"/>
        </w:rPr>
        <w:t xml:space="preserve"> Notons que le 21 mars 2014, le ministre des Finances, celui du Budget et celui des </w:t>
      </w:r>
      <w:r w:rsidR="008B4EA7" w:rsidRPr="008E25F4">
        <w:rPr>
          <w:rFonts w:cstheme="minorHAnsi"/>
        </w:rPr>
        <w:t>C</w:t>
      </w:r>
      <w:r w:rsidR="00431EC1" w:rsidRPr="008E25F4">
        <w:rPr>
          <w:rFonts w:cstheme="minorHAnsi"/>
        </w:rPr>
        <w:t>T</w:t>
      </w:r>
      <w:r w:rsidR="00A77897" w:rsidRPr="008E25F4">
        <w:rPr>
          <w:rFonts w:cstheme="minorHAnsi"/>
        </w:rPr>
        <w:t>, les présidents des grandes associations nationales d'élus locaux et le Premier président de la C</w:t>
      </w:r>
      <w:r w:rsidR="00F75FBA">
        <w:rPr>
          <w:rFonts w:cstheme="minorHAnsi"/>
        </w:rPr>
        <w:t xml:space="preserve"> </w:t>
      </w:r>
      <w:r w:rsidR="00A77897" w:rsidRPr="008E25F4">
        <w:rPr>
          <w:rFonts w:cstheme="minorHAnsi"/>
        </w:rPr>
        <w:t xml:space="preserve">des </w:t>
      </w:r>
      <w:r w:rsidR="00F75FBA">
        <w:rPr>
          <w:rFonts w:cstheme="minorHAnsi"/>
        </w:rPr>
        <w:t>C</w:t>
      </w:r>
      <w:r w:rsidR="00A77897" w:rsidRPr="008E25F4">
        <w:rPr>
          <w:rFonts w:cstheme="minorHAnsi"/>
        </w:rPr>
        <w:t xml:space="preserve"> ont signé une </w:t>
      </w:r>
      <w:hyperlink r:id="rId8" w:history="1">
        <w:r w:rsidR="00A77897" w:rsidRPr="008E25F4">
          <w:rPr>
            <w:rStyle w:val="Accentuation"/>
            <w:rFonts w:cstheme="minorHAnsi"/>
            <w:i w:val="0"/>
          </w:rPr>
          <w:t>charte nationale relative à la fiabilité des comptes locaux</w:t>
        </w:r>
      </w:hyperlink>
      <w:r w:rsidR="000818F6" w:rsidRPr="008E25F4">
        <w:rPr>
          <w:rFonts w:cstheme="minorHAnsi"/>
        </w:rPr>
        <w:t xml:space="preserve">. </w:t>
      </w:r>
    </w:p>
    <w:p w14:paraId="1C8BA3E5" w14:textId="7189B502" w:rsidR="00743DE9" w:rsidRPr="00F8392F" w:rsidRDefault="008D31C1" w:rsidP="00932E08">
      <w:pPr>
        <w:pStyle w:val="Default"/>
        <w:spacing w:after="120"/>
        <w:jc w:val="both"/>
        <w:rPr>
          <w:rFonts w:asciiTheme="minorHAnsi" w:hAnsiTheme="minorHAnsi" w:cstheme="minorHAnsi"/>
          <w:color w:val="auto"/>
          <w:sz w:val="22"/>
          <w:szCs w:val="22"/>
        </w:rPr>
      </w:pPr>
      <w:r w:rsidRPr="008E25F4">
        <w:rPr>
          <w:rFonts w:asciiTheme="minorHAnsi" w:hAnsiTheme="minorHAnsi" w:cstheme="minorHAnsi"/>
          <w:sz w:val="22"/>
          <w:szCs w:val="22"/>
        </w:rPr>
        <w:lastRenderedPageBreak/>
        <w:t>La certifica</w:t>
      </w:r>
      <w:r w:rsidR="00207723" w:rsidRPr="008E25F4">
        <w:rPr>
          <w:rFonts w:asciiTheme="minorHAnsi" w:hAnsiTheme="minorHAnsi" w:cstheme="minorHAnsi"/>
          <w:sz w:val="22"/>
          <w:szCs w:val="22"/>
        </w:rPr>
        <w:t>tion des comptes répond à</w:t>
      </w:r>
      <w:r w:rsidRPr="008E25F4">
        <w:rPr>
          <w:rFonts w:asciiTheme="minorHAnsi" w:hAnsiTheme="minorHAnsi" w:cstheme="minorHAnsi"/>
          <w:sz w:val="22"/>
          <w:szCs w:val="22"/>
        </w:rPr>
        <w:t xml:space="preserve"> la préoccupation </w:t>
      </w:r>
      <w:r w:rsidR="00450ABA" w:rsidRPr="008E25F4">
        <w:rPr>
          <w:rFonts w:asciiTheme="minorHAnsi" w:hAnsiTheme="minorHAnsi" w:cstheme="minorHAnsi"/>
          <w:sz w:val="22"/>
          <w:szCs w:val="22"/>
        </w:rPr>
        <w:t xml:space="preserve">qui émerge </w:t>
      </w:r>
      <w:r w:rsidR="004910F8" w:rsidRPr="008E25F4">
        <w:rPr>
          <w:rFonts w:asciiTheme="minorHAnsi" w:hAnsiTheme="minorHAnsi" w:cstheme="minorHAnsi"/>
          <w:sz w:val="22"/>
          <w:szCs w:val="22"/>
        </w:rPr>
        <w:t>de ces différents textes de loi</w:t>
      </w:r>
      <w:r w:rsidR="008D43A5" w:rsidRPr="008E25F4">
        <w:rPr>
          <w:rFonts w:asciiTheme="minorHAnsi" w:hAnsiTheme="minorHAnsi" w:cstheme="minorHAnsi"/>
          <w:sz w:val="22"/>
          <w:szCs w:val="22"/>
        </w:rPr>
        <w:t xml:space="preserve"> </w:t>
      </w:r>
      <w:r w:rsidR="000818F6" w:rsidRPr="008E25F4">
        <w:rPr>
          <w:rFonts w:asciiTheme="minorHAnsi" w:hAnsiTheme="minorHAnsi" w:cstheme="minorHAnsi"/>
          <w:sz w:val="22"/>
          <w:szCs w:val="22"/>
        </w:rPr>
        <w:t xml:space="preserve">ou autres, </w:t>
      </w:r>
      <w:r w:rsidR="004910F8" w:rsidRPr="008E25F4">
        <w:rPr>
          <w:rFonts w:asciiTheme="minorHAnsi" w:hAnsiTheme="minorHAnsi" w:cstheme="minorHAnsi"/>
          <w:sz w:val="22"/>
          <w:szCs w:val="22"/>
        </w:rPr>
        <w:t xml:space="preserve">à savoir garantir la fiabilité et la transparence des informations financières contenues dans les documents fournis par l’entité, cette dernière ayant respecté les procédures règlementaires pour la tenue des comptes et le contrôle interne. </w:t>
      </w:r>
      <w:r w:rsidR="006C3FC3" w:rsidRPr="008E25F4">
        <w:rPr>
          <w:rFonts w:asciiTheme="minorHAnsi" w:hAnsiTheme="minorHAnsi" w:cstheme="minorHAnsi"/>
          <w:sz w:val="22"/>
          <w:szCs w:val="22"/>
        </w:rPr>
        <w:t xml:space="preserve">La certification est un avis sur les états financiers d’un organisme. Le certificateur ne va pas se prononcer sur la responsabilité du comptable public et de l’ordonnateur qui les ont élaborés ni sur la qualité de la gestion de la </w:t>
      </w:r>
      <w:r w:rsidR="008B4EA7" w:rsidRPr="008E25F4">
        <w:rPr>
          <w:rFonts w:asciiTheme="minorHAnsi" w:hAnsiTheme="minorHAnsi" w:cstheme="minorHAnsi"/>
          <w:sz w:val="22"/>
          <w:szCs w:val="22"/>
        </w:rPr>
        <w:t>Collectivité</w:t>
      </w:r>
      <w:r w:rsidR="006C3FC3" w:rsidRPr="008E25F4">
        <w:rPr>
          <w:rFonts w:asciiTheme="minorHAnsi" w:hAnsiTheme="minorHAnsi" w:cstheme="minorHAnsi"/>
          <w:sz w:val="22"/>
          <w:szCs w:val="22"/>
        </w:rPr>
        <w:t xml:space="preserve"> concernée, </w:t>
      </w:r>
      <w:r w:rsidR="009362C6" w:rsidRPr="008E25F4">
        <w:rPr>
          <w:rFonts w:asciiTheme="minorHAnsi" w:hAnsiTheme="minorHAnsi" w:cstheme="minorHAnsi"/>
          <w:sz w:val="22"/>
          <w:szCs w:val="22"/>
        </w:rPr>
        <w:t>ni</w:t>
      </w:r>
      <w:r w:rsidR="006C3FC3" w:rsidRPr="008E25F4">
        <w:rPr>
          <w:rFonts w:asciiTheme="minorHAnsi" w:hAnsiTheme="minorHAnsi" w:cstheme="minorHAnsi"/>
          <w:sz w:val="22"/>
          <w:szCs w:val="22"/>
        </w:rPr>
        <w:t xml:space="preserve"> sur sa s</w:t>
      </w:r>
      <w:r w:rsidR="009362C6" w:rsidRPr="008E25F4">
        <w:rPr>
          <w:rFonts w:asciiTheme="minorHAnsi" w:hAnsiTheme="minorHAnsi" w:cstheme="minorHAnsi"/>
          <w:sz w:val="22"/>
          <w:szCs w:val="22"/>
        </w:rPr>
        <w:t>anté</w:t>
      </w:r>
      <w:r w:rsidR="006C3FC3" w:rsidRPr="008E25F4">
        <w:rPr>
          <w:rFonts w:asciiTheme="minorHAnsi" w:hAnsiTheme="minorHAnsi" w:cstheme="minorHAnsi"/>
          <w:sz w:val="22"/>
          <w:szCs w:val="22"/>
        </w:rPr>
        <w:t xml:space="preserve"> financière.</w:t>
      </w:r>
      <w:r w:rsidR="00734C0D" w:rsidRPr="008E25F4">
        <w:rPr>
          <w:rFonts w:asciiTheme="minorHAnsi" w:hAnsiTheme="minorHAnsi" w:cstheme="minorHAnsi"/>
          <w:sz w:val="22"/>
          <w:szCs w:val="22"/>
        </w:rPr>
        <w:t xml:space="preserve"> Le contrôle de</w:t>
      </w:r>
      <w:r w:rsidR="00502E04" w:rsidRPr="008E25F4">
        <w:rPr>
          <w:rFonts w:asciiTheme="minorHAnsi" w:hAnsiTheme="minorHAnsi" w:cstheme="minorHAnsi"/>
          <w:sz w:val="22"/>
          <w:szCs w:val="22"/>
        </w:rPr>
        <w:t xml:space="preserve"> régular</w:t>
      </w:r>
      <w:r w:rsidR="00734C0D" w:rsidRPr="008E25F4">
        <w:rPr>
          <w:rFonts w:asciiTheme="minorHAnsi" w:hAnsiTheme="minorHAnsi" w:cstheme="minorHAnsi"/>
          <w:sz w:val="22"/>
          <w:szCs w:val="22"/>
        </w:rPr>
        <w:t xml:space="preserve">ité </w:t>
      </w:r>
      <w:r w:rsidR="007749FD" w:rsidRPr="008E25F4">
        <w:rPr>
          <w:rFonts w:asciiTheme="minorHAnsi" w:hAnsiTheme="minorHAnsi" w:cstheme="minorHAnsi"/>
          <w:sz w:val="22"/>
          <w:szCs w:val="22"/>
        </w:rPr>
        <w:t xml:space="preserve">des comptes </w:t>
      </w:r>
      <w:r w:rsidR="00734C0D" w:rsidRPr="008E25F4">
        <w:rPr>
          <w:rFonts w:asciiTheme="minorHAnsi" w:hAnsiTheme="minorHAnsi" w:cstheme="minorHAnsi"/>
          <w:sz w:val="22"/>
          <w:szCs w:val="22"/>
        </w:rPr>
        <w:t xml:space="preserve">et le contrôle budgétaire exercés par le Préfet </w:t>
      </w:r>
      <w:r w:rsidR="007749FD" w:rsidRPr="008E25F4">
        <w:rPr>
          <w:rFonts w:asciiTheme="minorHAnsi" w:hAnsiTheme="minorHAnsi" w:cstheme="minorHAnsi"/>
          <w:sz w:val="22"/>
          <w:szCs w:val="22"/>
        </w:rPr>
        <w:t xml:space="preserve">et les Chambres Régionales des Comptes (CRC) </w:t>
      </w:r>
      <w:r w:rsidR="00734C0D" w:rsidRPr="008E25F4">
        <w:rPr>
          <w:rFonts w:asciiTheme="minorHAnsi" w:hAnsiTheme="minorHAnsi" w:cstheme="minorHAnsi"/>
          <w:sz w:val="22"/>
          <w:szCs w:val="22"/>
        </w:rPr>
        <w:t>pour les C</w:t>
      </w:r>
      <w:r w:rsidR="007749FD" w:rsidRPr="008E25F4">
        <w:rPr>
          <w:rFonts w:asciiTheme="minorHAnsi" w:hAnsiTheme="minorHAnsi" w:cstheme="minorHAnsi"/>
          <w:sz w:val="22"/>
          <w:szCs w:val="22"/>
        </w:rPr>
        <w:t>T</w:t>
      </w:r>
      <w:r w:rsidR="00734C0D" w:rsidRPr="008E25F4">
        <w:rPr>
          <w:rFonts w:asciiTheme="minorHAnsi" w:hAnsiTheme="minorHAnsi" w:cstheme="minorHAnsi"/>
          <w:sz w:val="22"/>
          <w:szCs w:val="22"/>
        </w:rPr>
        <w:t xml:space="preserve"> sont </w:t>
      </w:r>
      <w:r w:rsidR="00734C0D" w:rsidRPr="00F8392F">
        <w:rPr>
          <w:rFonts w:asciiTheme="minorHAnsi" w:hAnsiTheme="minorHAnsi" w:cstheme="minorHAnsi"/>
          <w:color w:val="auto"/>
          <w:sz w:val="22"/>
          <w:szCs w:val="22"/>
        </w:rPr>
        <w:t xml:space="preserve">maintenus. </w:t>
      </w:r>
      <w:r w:rsidR="00502E04" w:rsidRPr="00F8392F">
        <w:rPr>
          <w:rFonts w:asciiTheme="minorHAnsi" w:hAnsiTheme="minorHAnsi" w:cstheme="minorHAnsi"/>
          <w:color w:val="auto"/>
          <w:sz w:val="22"/>
          <w:szCs w:val="22"/>
        </w:rPr>
        <w:t xml:space="preserve">En effet, ce sont les CRC qui jugent la régularité de la comptabilité des comptables publics : elles effectuent un contrôle de régularité des comptes et vérifient que le comptable a réalisé les contrôles qui lui incombent. En matière de contrôle budgétaire, la CRC intervient sur saisine du Préfet pour formuler des propositions </w:t>
      </w:r>
      <w:r w:rsidR="0071557F" w:rsidRPr="00F8392F">
        <w:rPr>
          <w:rFonts w:asciiTheme="minorHAnsi" w:hAnsiTheme="minorHAnsi" w:cstheme="minorHAnsi"/>
          <w:color w:val="auto"/>
          <w:sz w:val="22"/>
          <w:szCs w:val="22"/>
        </w:rPr>
        <w:t>dans les cas suivants : lorsque le budget primitif est adopté trop tardivement, lorsque le budget voté est en déséquilibre (inégalité entre recettes et dépenses), en cas de défaut d’inscription d’une dépense obligatoire au budget ou enfin lorsque le budget exécuté (celui de l’année antérieure) est en déficit. Les CRC ont aussi une mission de contrôle de gestion qui vise à examiner l’équilibre financier des opérations de gestion des CT, le choix des moyens utilisés et les résultats obtenus</w:t>
      </w:r>
      <w:r w:rsidR="00E148CB" w:rsidRPr="00F8392F">
        <w:rPr>
          <w:rFonts w:asciiTheme="minorHAnsi" w:hAnsiTheme="minorHAnsi" w:cstheme="minorHAnsi"/>
          <w:color w:val="auto"/>
          <w:sz w:val="22"/>
          <w:szCs w:val="22"/>
        </w:rPr>
        <w:t> ;</w:t>
      </w:r>
      <w:r w:rsidR="00BB68BA" w:rsidRPr="00F8392F">
        <w:rPr>
          <w:rFonts w:asciiTheme="minorHAnsi" w:hAnsiTheme="minorHAnsi" w:cstheme="minorHAnsi"/>
          <w:color w:val="auto"/>
          <w:sz w:val="22"/>
          <w:szCs w:val="22"/>
        </w:rPr>
        <w:t xml:space="preserve"> cette mission étant proche d’une évaluation de politique publique locale</w:t>
      </w:r>
      <w:r w:rsidR="006D23C3" w:rsidRPr="00F8392F">
        <w:rPr>
          <w:rFonts w:asciiTheme="minorHAnsi" w:hAnsiTheme="minorHAnsi" w:cstheme="minorHAnsi"/>
          <w:color w:val="auto"/>
          <w:sz w:val="22"/>
          <w:szCs w:val="22"/>
        </w:rPr>
        <w:t xml:space="preserve"> et conforme à la notion de performance.</w:t>
      </w:r>
      <w:r w:rsidR="006A39A6" w:rsidRPr="00F8392F">
        <w:rPr>
          <w:rFonts w:asciiTheme="minorHAnsi" w:hAnsiTheme="minorHAnsi" w:cstheme="minorHAnsi"/>
          <w:color w:val="auto"/>
          <w:sz w:val="22"/>
          <w:szCs w:val="22"/>
        </w:rPr>
        <w:t xml:space="preserve"> Nous notons toutefois que les contrôles réalisés par les CRC ne sont pas systématiques. A titre d’exemple, la CRC de la Région Rh</w:t>
      </w:r>
      <w:r w:rsidR="00F8392F">
        <w:rPr>
          <w:rFonts w:asciiTheme="minorHAnsi" w:hAnsiTheme="minorHAnsi" w:cstheme="minorHAnsi"/>
          <w:color w:val="auto"/>
          <w:sz w:val="22"/>
          <w:szCs w:val="22"/>
        </w:rPr>
        <w:t>ô</w:t>
      </w:r>
      <w:r w:rsidR="006A39A6" w:rsidRPr="00F8392F">
        <w:rPr>
          <w:rFonts w:asciiTheme="minorHAnsi" w:hAnsiTheme="minorHAnsi" w:cstheme="minorHAnsi"/>
          <w:color w:val="auto"/>
          <w:sz w:val="22"/>
          <w:szCs w:val="22"/>
        </w:rPr>
        <w:t>ne-Alpes</w:t>
      </w:r>
      <w:r w:rsidR="00F8392F">
        <w:rPr>
          <w:rFonts w:asciiTheme="minorHAnsi" w:hAnsiTheme="minorHAnsi" w:cstheme="minorHAnsi"/>
          <w:color w:val="auto"/>
          <w:sz w:val="22"/>
          <w:szCs w:val="22"/>
        </w:rPr>
        <w:t>-</w:t>
      </w:r>
      <w:r w:rsidR="006A39A6" w:rsidRPr="00F8392F">
        <w:rPr>
          <w:rFonts w:asciiTheme="minorHAnsi" w:hAnsiTheme="minorHAnsi" w:cstheme="minorHAnsi"/>
          <w:color w:val="auto"/>
          <w:sz w:val="22"/>
          <w:szCs w:val="22"/>
        </w:rPr>
        <w:t xml:space="preserve">Auvergne a réalisé en 2019 des contrôles des comptes et de la gestion sur 57 entités pour un total de 14 milliards d’euros de recettes de fonctionnement aboutissant </w:t>
      </w:r>
      <w:r w:rsidR="00B200B9">
        <w:rPr>
          <w:rFonts w:asciiTheme="minorHAnsi" w:hAnsiTheme="minorHAnsi" w:cstheme="minorHAnsi"/>
          <w:color w:val="auto"/>
          <w:sz w:val="22"/>
          <w:szCs w:val="22"/>
        </w:rPr>
        <w:t xml:space="preserve">d’une part </w:t>
      </w:r>
      <w:r w:rsidR="006A39A6" w:rsidRPr="00F8392F">
        <w:rPr>
          <w:rFonts w:asciiTheme="minorHAnsi" w:hAnsiTheme="minorHAnsi" w:cstheme="minorHAnsi"/>
          <w:color w:val="auto"/>
          <w:sz w:val="22"/>
          <w:szCs w:val="22"/>
        </w:rPr>
        <w:t>à</w:t>
      </w:r>
      <w:r w:rsidR="00766769" w:rsidRPr="00F8392F">
        <w:rPr>
          <w:rFonts w:asciiTheme="minorHAnsi" w:hAnsiTheme="minorHAnsi" w:cstheme="minorHAnsi"/>
          <w:color w:val="auto"/>
          <w:sz w:val="22"/>
          <w:szCs w:val="22"/>
        </w:rPr>
        <w:t xml:space="preserve"> </w:t>
      </w:r>
      <w:r w:rsidR="006A39A6" w:rsidRPr="00F8392F">
        <w:rPr>
          <w:rFonts w:asciiTheme="minorHAnsi" w:hAnsiTheme="minorHAnsi" w:cstheme="minorHAnsi"/>
          <w:color w:val="auto"/>
          <w:sz w:val="22"/>
          <w:szCs w:val="22"/>
        </w:rPr>
        <w:t>59 rapports d’observations définitives et 52 rapports d’observations provisoires</w:t>
      </w:r>
      <w:r w:rsidR="00B200B9">
        <w:rPr>
          <w:rFonts w:asciiTheme="minorHAnsi" w:hAnsiTheme="minorHAnsi" w:cstheme="minorHAnsi"/>
          <w:color w:val="auto"/>
          <w:sz w:val="22"/>
          <w:szCs w:val="22"/>
        </w:rPr>
        <w:t xml:space="preserve"> et d’autre part à 132 ordonnances de décharge (le parquet financier ne retient pas de charge contre le comptable) et 36 jugements (ouverture d’un contentieux). </w:t>
      </w:r>
    </w:p>
    <w:p w14:paraId="5AFE6FF7" w14:textId="0B860272" w:rsidR="00502E04" w:rsidRPr="00F8392F" w:rsidRDefault="00852A8A" w:rsidP="00932E08">
      <w:pPr>
        <w:pStyle w:val="Default"/>
        <w:suppressAutoHyphens/>
        <w:spacing w:after="120"/>
        <w:jc w:val="both"/>
        <w:rPr>
          <w:rFonts w:asciiTheme="minorHAnsi" w:hAnsiTheme="minorHAnsi" w:cstheme="minorHAnsi"/>
          <w:color w:val="auto"/>
          <w:sz w:val="22"/>
          <w:szCs w:val="22"/>
        </w:rPr>
      </w:pPr>
      <w:r w:rsidRPr="00F8392F">
        <w:rPr>
          <w:rFonts w:asciiTheme="minorHAnsi" w:hAnsiTheme="minorHAnsi" w:cstheme="minorHAnsi"/>
          <w:color w:val="auto"/>
          <w:sz w:val="22"/>
          <w:szCs w:val="22"/>
        </w:rPr>
        <w:t xml:space="preserve">La coexistence des juridictions financières et d’un certificateur privé indépendant </w:t>
      </w:r>
      <w:r w:rsidR="00743DE9" w:rsidRPr="00F8392F">
        <w:rPr>
          <w:rFonts w:asciiTheme="minorHAnsi" w:hAnsiTheme="minorHAnsi" w:cstheme="minorHAnsi"/>
          <w:color w:val="auto"/>
          <w:sz w:val="22"/>
          <w:szCs w:val="22"/>
        </w:rPr>
        <w:t xml:space="preserve">était </w:t>
      </w:r>
      <w:r w:rsidRPr="00F8392F">
        <w:rPr>
          <w:rFonts w:asciiTheme="minorHAnsi" w:hAnsiTheme="minorHAnsi" w:cstheme="minorHAnsi"/>
          <w:color w:val="auto"/>
          <w:sz w:val="22"/>
          <w:szCs w:val="22"/>
        </w:rPr>
        <w:t xml:space="preserve">proposée par </w:t>
      </w:r>
      <w:proofErr w:type="spellStart"/>
      <w:r w:rsidRPr="00F8392F">
        <w:rPr>
          <w:rFonts w:asciiTheme="minorHAnsi" w:hAnsiTheme="minorHAnsi" w:cstheme="minorHAnsi"/>
          <w:color w:val="auto"/>
          <w:sz w:val="22"/>
          <w:szCs w:val="22"/>
        </w:rPr>
        <w:t>Carassus</w:t>
      </w:r>
      <w:proofErr w:type="spellEnd"/>
      <w:r w:rsidRPr="00F8392F">
        <w:rPr>
          <w:rFonts w:asciiTheme="minorHAnsi" w:hAnsiTheme="minorHAnsi" w:cstheme="minorHAnsi"/>
          <w:color w:val="auto"/>
          <w:sz w:val="22"/>
          <w:szCs w:val="22"/>
        </w:rPr>
        <w:t xml:space="preserve"> et Rigal (1999) </w:t>
      </w:r>
      <w:r w:rsidR="007A3081" w:rsidRPr="00F8392F">
        <w:rPr>
          <w:rFonts w:asciiTheme="minorHAnsi" w:hAnsiTheme="minorHAnsi" w:cstheme="minorHAnsi"/>
          <w:color w:val="auto"/>
          <w:sz w:val="22"/>
          <w:szCs w:val="22"/>
        </w:rPr>
        <w:t xml:space="preserve">de façon </w:t>
      </w:r>
      <w:r w:rsidR="00E41383" w:rsidRPr="00F8392F">
        <w:rPr>
          <w:rFonts w:asciiTheme="minorHAnsi" w:hAnsiTheme="minorHAnsi" w:cstheme="minorHAnsi"/>
          <w:color w:val="auto"/>
          <w:sz w:val="22"/>
          <w:szCs w:val="22"/>
        </w:rPr>
        <w:t xml:space="preserve">à ajouter à la logique budgétaire une logique financière et patrimoniale </w:t>
      </w:r>
      <w:r w:rsidR="00743DE9" w:rsidRPr="00F8392F">
        <w:rPr>
          <w:rFonts w:asciiTheme="minorHAnsi" w:hAnsiTheme="minorHAnsi" w:cstheme="minorHAnsi"/>
          <w:color w:val="auto"/>
          <w:sz w:val="22"/>
          <w:szCs w:val="22"/>
        </w:rPr>
        <w:t>en vue de</w:t>
      </w:r>
      <w:r w:rsidR="00E41383" w:rsidRPr="00F8392F">
        <w:rPr>
          <w:rFonts w:asciiTheme="minorHAnsi" w:hAnsiTheme="minorHAnsi" w:cstheme="minorHAnsi"/>
          <w:color w:val="auto"/>
          <w:sz w:val="22"/>
          <w:szCs w:val="22"/>
        </w:rPr>
        <w:t xml:space="preserve"> servir les partenaires extérieurs de la C</w:t>
      </w:r>
      <w:r w:rsidR="00F75FBA">
        <w:rPr>
          <w:rFonts w:asciiTheme="minorHAnsi" w:hAnsiTheme="minorHAnsi" w:cstheme="minorHAnsi"/>
          <w:color w:val="auto"/>
          <w:sz w:val="22"/>
          <w:szCs w:val="22"/>
        </w:rPr>
        <w:t>T</w:t>
      </w:r>
      <w:r w:rsidR="00743DE9" w:rsidRPr="00F8392F">
        <w:rPr>
          <w:rFonts w:asciiTheme="minorHAnsi" w:hAnsiTheme="minorHAnsi" w:cstheme="minorHAnsi"/>
          <w:color w:val="auto"/>
          <w:sz w:val="22"/>
          <w:szCs w:val="22"/>
        </w:rPr>
        <w:t xml:space="preserve"> alors que Prat (2009) considère que la certification annuelle peut être réalisée par les CRC à condition d’une part de la réserver aux CT les plus grandes et d’autre part de réformer les normes comptables.</w:t>
      </w:r>
    </w:p>
    <w:p w14:paraId="21750D0B" w14:textId="62192BB4" w:rsidR="00DD484E" w:rsidRPr="008E25F4" w:rsidRDefault="00315F03" w:rsidP="00932E08">
      <w:pPr>
        <w:suppressAutoHyphens/>
        <w:jc w:val="both"/>
        <w:rPr>
          <w:rFonts w:cstheme="minorHAnsi"/>
        </w:rPr>
      </w:pPr>
      <w:r w:rsidRPr="008E25F4">
        <w:rPr>
          <w:rFonts w:cstheme="minorHAnsi"/>
        </w:rPr>
        <w:t xml:space="preserve">Nous concevons la certification des comptes publics, en l’occurrence </w:t>
      </w:r>
      <w:r w:rsidR="00A34B26" w:rsidRPr="008E25F4">
        <w:rPr>
          <w:rFonts w:cstheme="minorHAnsi"/>
        </w:rPr>
        <w:t xml:space="preserve">de </w:t>
      </w:r>
      <w:r w:rsidRPr="008E25F4">
        <w:rPr>
          <w:rFonts w:cstheme="minorHAnsi"/>
        </w:rPr>
        <w:t xml:space="preserve">ceux des </w:t>
      </w:r>
      <w:r w:rsidR="008B4EA7" w:rsidRPr="008E25F4">
        <w:rPr>
          <w:rFonts w:cstheme="minorHAnsi"/>
        </w:rPr>
        <w:t>C</w:t>
      </w:r>
      <w:r w:rsidR="00431EC1" w:rsidRPr="008E25F4">
        <w:rPr>
          <w:rFonts w:cstheme="minorHAnsi"/>
        </w:rPr>
        <w:t>T</w:t>
      </w:r>
      <w:r w:rsidRPr="008E25F4">
        <w:rPr>
          <w:rFonts w:cstheme="minorHAnsi"/>
        </w:rPr>
        <w:t xml:space="preserve">, comme </w:t>
      </w:r>
      <w:r w:rsidR="00A34B26" w:rsidRPr="008E25F4">
        <w:rPr>
          <w:rFonts w:cstheme="minorHAnsi"/>
        </w:rPr>
        <w:t>le</w:t>
      </w:r>
      <w:r w:rsidRPr="008E25F4">
        <w:rPr>
          <w:rFonts w:cstheme="minorHAnsi"/>
        </w:rPr>
        <w:t xml:space="preserve"> continuum d’un processus d’information et de loyauté à destination des citoyens entamé il y a plus de deux siècles. </w:t>
      </w:r>
      <w:r w:rsidR="00D12351" w:rsidRPr="008E25F4">
        <w:rPr>
          <w:rFonts w:cstheme="minorHAnsi"/>
        </w:rPr>
        <w:t xml:space="preserve">La Déclaration des Droits de l’homme et du citoyen </w:t>
      </w:r>
      <w:r w:rsidR="008A59C2">
        <w:rPr>
          <w:rFonts w:cstheme="minorHAnsi"/>
        </w:rPr>
        <w:t xml:space="preserve">de </w:t>
      </w:r>
      <w:r w:rsidR="00C9106F" w:rsidRPr="008E25F4">
        <w:rPr>
          <w:rFonts w:cstheme="minorHAnsi"/>
        </w:rPr>
        <w:t xml:space="preserve">1789 </w:t>
      </w:r>
      <w:r w:rsidR="00D12351" w:rsidRPr="008E25F4">
        <w:rPr>
          <w:rFonts w:cstheme="minorHAnsi"/>
        </w:rPr>
        <w:t xml:space="preserve">attribue deux droits à chaque citoyen, celui de consentir à l’impôt et celui de suivre l’emploi de la contribution publique. </w:t>
      </w:r>
      <w:r w:rsidR="0059086B" w:rsidRPr="008E25F4">
        <w:rPr>
          <w:rFonts w:cstheme="minorHAnsi"/>
        </w:rPr>
        <w:t>La Constitution du 3 septembre 1791 reprend ces droits</w:t>
      </w:r>
      <w:r w:rsidR="00E95F4A" w:rsidRPr="008E25F4">
        <w:rPr>
          <w:rFonts w:cstheme="minorHAnsi"/>
        </w:rPr>
        <w:t xml:space="preserve"> : elle </w:t>
      </w:r>
      <w:r w:rsidR="009642E1" w:rsidRPr="008E25F4">
        <w:rPr>
          <w:rFonts w:cstheme="minorHAnsi"/>
        </w:rPr>
        <w:t>impose</w:t>
      </w:r>
      <w:r w:rsidR="00E95F4A" w:rsidRPr="008E25F4">
        <w:rPr>
          <w:rFonts w:cstheme="minorHAnsi"/>
        </w:rPr>
        <w:t xml:space="preserve"> la publication des recettes des différentes contributions et autres revenus publics ainsi que des comptes détaillés des dépenses des départements ministériels. Aussi la Constitution prévoit que les ministres </w:t>
      </w:r>
      <w:r w:rsidR="008E3059" w:rsidRPr="008E25F4">
        <w:rPr>
          <w:rFonts w:cstheme="minorHAnsi"/>
        </w:rPr>
        <w:t xml:space="preserve">doivent présenter chaque année aux députés, le montant des dépenses à réaliser dans leur département, de rendre compte de l’utilisation des sommes qui y étaient prévues ainsi que des abus éventuels commis par des membres du gouvernement. </w:t>
      </w:r>
      <w:r w:rsidR="004B3846" w:rsidRPr="008E25F4">
        <w:rPr>
          <w:rFonts w:cstheme="minorHAnsi"/>
        </w:rPr>
        <w:t xml:space="preserve">Notons la création de la </w:t>
      </w:r>
      <w:r w:rsidRPr="008E25F4">
        <w:rPr>
          <w:rFonts w:cstheme="minorHAnsi"/>
        </w:rPr>
        <w:t xml:space="preserve">C des C </w:t>
      </w:r>
      <w:r w:rsidR="004B3846" w:rsidRPr="008E25F4">
        <w:rPr>
          <w:rFonts w:cstheme="minorHAnsi"/>
        </w:rPr>
        <w:t xml:space="preserve">en 1807 pour juger de la régularité juridique des comptes. Cette instance peut prononcer la responsabilité pécuniaire des comptables mais ne peut pas émettre de jugements sur l’opportunité des dépenses et recettes ordonnées par les ministres. </w:t>
      </w:r>
      <w:r w:rsidR="00306FA7" w:rsidRPr="008E25F4">
        <w:rPr>
          <w:rFonts w:cstheme="minorHAnsi"/>
        </w:rPr>
        <w:t xml:space="preserve"> </w:t>
      </w:r>
      <w:r w:rsidR="00FC3089">
        <w:rPr>
          <w:rFonts w:cstheme="minorHAnsi"/>
        </w:rPr>
        <w:t>En application de</w:t>
      </w:r>
      <w:r w:rsidR="00DD484E" w:rsidRPr="008E25F4">
        <w:rPr>
          <w:rFonts w:cstheme="minorHAnsi"/>
        </w:rPr>
        <w:t xml:space="preserve"> la </w:t>
      </w:r>
      <w:bookmarkStart w:id="2" w:name="_Hlk37173499"/>
      <w:r w:rsidR="00DD484E" w:rsidRPr="008E25F4">
        <w:rPr>
          <w:rFonts w:cstheme="minorHAnsi"/>
        </w:rPr>
        <w:t xml:space="preserve">loi </w:t>
      </w:r>
      <w:r w:rsidR="00ED18CB" w:rsidRPr="008E25F4">
        <w:rPr>
          <w:rFonts w:cstheme="minorHAnsi"/>
        </w:rPr>
        <w:t xml:space="preserve">d’administration </w:t>
      </w:r>
      <w:r w:rsidR="008B4EA7" w:rsidRPr="008E25F4">
        <w:rPr>
          <w:rFonts w:cstheme="minorHAnsi"/>
        </w:rPr>
        <w:t>Territoriale</w:t>
      </w:r>
      <w:r w:rsidR="00ED18CB" w:rsidRPr="008E25F4">
        <w:rPr>
          <w:rFonts w:cstheme="minorHAnsi"/>
        </w:rPr>
        <w:t xml:space="preserve"> (</w:t>
      </w:r>
      <w:r w:rsidR="00DD484E" w:rsidRPr="008E25F4">
        <w:rPr>
          <w:rFonts w:cstheme="minorHAnsi"/>
        </w:rPr>
        <w:t>ATR</w:t>
      </w:r>
      <w:r w:rsidR="00ED18CB" w:rsidRPr="008E25F4">
        <w:rPr>
          <w:rFonts w:cstheme="minorHAnsi"/>
        </w:rPr>
        <w:t>) du 6 février 1992</w:t>
      </w:r>
      <w:bookmarkEnd w:id="2"/>
      <w:r w:rsidR="00DD484E" w:rsidRPr="008E25F4">
        <w:rPr>
          <w:rFonts w:cstheme="minorHAnsi"/>
        </w:rPr>
        <w:t>, l</w:t>
      </w:r>
      <w:r w:rsidR="00FC3089">
        <w:rPr>
          <w:rFonts w:cstheme="minorHAnsi"/>
        </w:rPr>
        <w:t>e</w:t>
      </w:r>
      <w:r w:rsidR="0078346C" w:rsidRPr="008E25F4">
        <w:rPr>
          <w:rFonts w:cstheme="minorHAnsi"/>
        </w:rPr>
        <w:t xml:space="preserve"> </w:t>
      </w:r>
      <w:r w:rsidR="00A66A1B" w:rsidRPr="008E25F4">
        <w:rPr>
          <w:rFonts w:cstheme="minorHAnsi"/>
        </w:rPr>
        <w:t xml:space="preserve">Code Général des </w:t>
      </w:r>
      <w:r w:rsidR="008B4EA7" w:rsidRPr="008E25F4">
        <w:rPr>
          <w:rFonts w:cstheme="minorHAnsi"/>
        </w:rPr>
        <w:t>Collectivité</w:t>
      </w:r>
      <w:r w:rsidR="00A66A1B" w:rsidRPr="008E25F4">
        <w:rPr>
          <w:rFonts w:cstheme="minorHAnsi"/>
        </w:rPr>
        <w:t xml:space="preserve">s </w:t>
      </w:r>
      <w:r w:rsidR="008B4EA7" w:rsidRPr="008E25F4">
        <w:rPr>
          <w:rFonts w:cstheme="minorHAnsi"/>
        </w:rPr>
        <w:t>Territoriale</w:t>
      </w:r>
      <w:r w:rsidR="00A66A1B" w:rsidRPr="008E25F4">
        <w:rPr>
          <w:rFonts w:cstheme="minorHAnsi"/>
        </w:rPr>
        <w:t>s (</w:t>
      </w:r>
      <w:r w:rsidR="0078346C" w:rsidRPr="008E25F4">
        <w:rPr>
          <w:rFonts w:cstheme="minorHAnsi"/>
        </w:rPr>
        <w:t>CGCT</w:t>
      </w:r>
      <w:r w:rsidR="00A66A1B" w:rsidRPr="008E25F4">
        <w:rPr>
          <w:rFonts w:cstheme="minorHAnsi"/>
        </w:rPr>
        <w:t>)</w:t>
      </w:r>
      <w:r w:rsidR="0078346C" w:rsidRPr="008E25F4">
        <w:rPr>
          <w:rFonts w:cstheme="minorHAnsi"/>
        </w:rPr>
        <w:t xml:space="preserve"> prévoit pour les communes que « toute personne physique ou morale a le droit de demander communication des procès-verbaux du conseil municipal, des budgets et des comptes de la commune et des arrêtés municipaux », cette disposition est prévue aussi en département et en région.</w:t>
      </w:r>
      <w:r w:rsidR="00DD484E" w:rsidRPr="008E25F4">
        <w:rPr>
          <w:rFonts w:cstheme="minorHAnsi"/>
        </w:rPr>
        <w:t xml:space="preserve"> </w:t>
      </w:r>
      <w:r w:rsidR="00FC3089">
        <w:rPr>
          <w:rFonts w:cstheme="minorHAnsi"/>
        </w:rPr>
        <w:t xml:space="preserve">Il </w:t>
      </w:r>
      <w:r w:rsidR="00DD484E" w:rsidRPr="008E25F4">
        <w:rPr>
          <w:rFonts w:eastAsia="Times New Roman" w:cstheme="minorHAnsi"/>
          <w:lang w:eastAsia="fr-FR"/>
        </w:rPr>
        <w:t>stipule</w:t>
      </w:r>
      <w:r w:rsidR="00FC3089">
        <w:rPr>
          <w:rFonts w:eastAsia="Times New Roman" w:cstheme="minorHAnsi"/>
          <w:lang w:eastAsia="fr-FR"/>
        </w:rPr>
        <w:t xml:space="preserve"> aussi</w:t>
      </w:r>
      <w:r w:rsidR="00DD484E" w:rsidRPr="008E25F4">
        <w:rPr>
          <w:rFonts w:eastAsia="Times New Roman" w:cstheme="minorHAnsi"/>
          <w:lang w:eastAsia="fr-FR"/>
        </w:rPr>
        <w:t xml:space="preserve"> que les budgets de la commune restent déposés à la mairie à la disposition d</w:t>
      </w:r>
      <w:r w:rsidR="009362C6" w:rsidRPr="008E25F4">
        <w:rPr>
          <w:rFonts w:eastAsia="Times New Roman" w:cstheme="minorHAnsi"/>
          <w:lang w:eastAsia="fr-FR"/>
        </w:rPr>
        <w:t>es citoyens</w:t>
      </w:r>
      <w:r w:rsidR="00DD484E" w:rsidRPr="008E25F4">
        <w:rPr>
          <w:rFonts w:eastAsia="Times New Roman" w:cstheme="minorHAnsi"/>
          <w:lang w:eastAsia="fr-FR"/>
        </w:rPr>
        <w:t xml:space="preserve"> dans les quinze jours qui suivent leur adoption, </w:t>
      </w:r>
      <w:r w:rsidR="00DD484E" w:rsidRPr="008E25F4">
        <w:rPr>
          <w:rFonts w:cstheme="minorHAnsi"/>
        </w:rPr>
        <w:t>l</w:t>
      </w:r>
      <w:r w:rsidR="00DD484E" w:rsidRPr="008E25F4">
        <w:rPr>
          <w:rFonts w:eastAsia="Times New Roman" w:cstheme="minorHAnsi"/>
          <w:lang w:eastAsia="fr-FR"/>
        </w:rPr>
        <w:t>e public étant avisé de la mise à disposition de ces documents</w:t>
      </w:r>
      <w:r w:rsidR="007018D0">
        <w:rPr>
          <w:rFonts w:eastAsia="Times New Roman" w:cstheme="minorHAnsi"/>
          <w:lang w:eastAsia="fr-FR"/>
        </w:rPr>
        <w:t xml:space="preserve"> et </w:t>
      </w:r>
      <w:r w:rsidR="00DD484E" w:rsidRPr="008E25F4">
        <w:rPr>
          <w:rFonts w:eastAsia="Times New Roman" w:cstheme="minorHAnsi"/>
          <w:lang w:eastAsia="fr-FR"/>
        </w:rPr>
        <w:t>que</w:t>
      </w:r>
      <w:r w:rsidR="00DD484E" w:rsidRPr="008E25F4">
        <w:rPr>
          <w:rFonts w:cstheme="minorHAnsi"/>
        </w:rPr>
        <w:t xml:space="preserve"> d</w:t>
      </w:r>
      <w:r w:rsidR="00DD484E" w:rsidRPr="008E25F4">
        <w:rPr>
          <w:rFonts w:eastAsia="Times New Roman" w:cstheme="minorHAnsi"/>
          <w:lang w:eastAsia="fr-FR"/>
        </w:rPr>
        <w:t xml:space="preserve">ans les communes de 3 500 habitants et plus, les documents budgétaires s’accompagnent de données </w:t>
      </w:r>
      <w:r w:rsidR="007018D0">
        <w:rPr>
          <w:rFonts w:eastAsia="Times New Roman" w:cstheme="minorHAnsi"/>
          <w:lang w:eastAsia="fr-FR"/>
        </w:rPr>
        <w:t>supplémentaires (</w:t>
      </w:r>
      <w:r w:rsidR="00DD484E" w:rsidRPr="008E25F4">
        <w:rPr>
          <w:rFonts w:eastAsia="Times New Roman" w:cstheme="minorHAnsi"/>
          <w:lang w:eastAsia="fr-FR"/>
        </w:rPr>
        <w:t xml:space="preserve">situation financière de la commune, engagements avec les </w:t>
      </w:r>
      <w:r w:rsidR="009362C6" w:rsidRPr="008E25F4">
        <w:rPr>
          <w:rFonts w:eastAsia="Times New Roman" w:cstheme="minorHAnsi"/>
          <w:lang w:eastAsia="fr-FR"/>
        </w:rPr>
        <w:t xml:space="preserve">organisations </w:t>
      </w:r>
      <w:r w:rsidR="00DD484E" w:rsidRPr="008E25F4">
        <w:rPr>
          <w:rFonts w:eastAsia="Times New Roman" w:cstheme="minorHAnsi"/>
          <w:lang w:eastAsia="fr-FR"/>
        </w:rPr>
        <w:t>satellites</w:t>
      </w:r>
      <w:r w:rsidR="007018D0">
        <w:rPr>
          <w:rFonts w:eastAsia="Times New Roman" w:cstheme="minorHAnsi"/>
          <w:lang w:eastAsia="fr-FR"/>
        </w:rPr>
        <w:t>…)</w:t>
      </w:r>
      <w:r w:rsidR="00DD484E" w:rsidRPr="008E25F4">
        <w:rPr>
          <w:rFonts w:eastAsia="Times New Roman" w:cstheme="minorHAnsi"/>
          <w:lang w:eastAsia="fr-FR"/>
        </w:rPr>
        <w:t xml:space="preserve">. </w:t>
      </w:r>
      <w:r w:rsidR="006A58EB" w:rsidRPr="008E25F4">
        <w:rPr>
          <w:rFonts w:cstheme="minorHAnsi"/>
        </w:rPr>
        <w:t xml:space="preserve">Par la révision constitutionnelle de 2008, la C des C a une mission d’information des citoyens. Sur le plan local, la loi </w:t>
      </w:r>
      <w:proofErr w:type="spellStart"/>
      <w:r w:rsidR="006A58EB" w:rsidRPr="008E25F4">
        <w:rPr>
          <w:rFonts w:cstheme="minorHAnsi"/>
        </w:rPr>
        <w:t>NOTRe</w:t>
      </w:r>
      <w:proofErr w:type="spellEnd"/>
      <w:r w:rsidR="006A58EB" w:rsidRPr="008E25F4">
        <w:rPr>
          <w:rFonts w:cstheme="minorHAnsi"/>
        </w:rPr>
        <w:t xml:space="preserve"> de 2015 a renforcé </w:t>
      </w:r>
      <w:r w:rsidR="006A58EB" w:rsidRPr="008E25F4">
        <w:rPr>
          <w:rFonts w:cstheme="minorHAnsi"/>
        </w:rPr>
        <w:lastRenderedPageBreak/>
        <w:t>les dispositions relatives à la communication des rapports d’observation des CRC. Les contrôles des juridictions financières sont « de jure et de facto au service du citoyen » (Delon-</w:t>
      </w:r>
      <w:proofErr w:type="spellStart"/>
      <w:r w:rsidR="006A58EB" w:rsidRPr="008E25F4">
        <w:rPr>
          <w:rFonts w:cstheme="minorHAnsi"/>
        </w:rPr>
        <w:t>Desmoulin</w:t>
      </w:r>
      <w:proofErr w:type="spellEnd"/>
      <w:r w:rsidR="006A58EB" w:rsidRPr="008E25F4">
        <w:rPr>
          <w:rFonts w:cstheme="minorHAnsi"/>
        </w:rPr>
        <w:t xml:space="preserve"> 2019, p.70).</w:t>
      </w:r>
    </w:p>
    <w:p w14:paraId="5395B982" w14:textId="29B107E6" w:rsidR="008B71B7" w:rsidRPr="008E25F4" w:rsidRDefault="000F5FCD" w:rsidP="00932E08">
      <w:pPr>
        <w:suppressAutoHyphens/>
        <w:autoSpaceDE w:val="0"/>
        <w:autoSpaceDN w:val="0"/>
        <w:adjustRightInd w:val="0"/>
        <w:jc w:val="both"/>
        <w:rPr>
          <w:rFonts w:cstheme="minorHAnsi"/>
        </w:rPr>
      </w:pPr>
      <w:r w:rsidRPr="008E25F4">
        <w:rPr>
          <w:rFonts w:cstheme="minorHAnsi"/>
        </w:rPr>
        <w:t xml:space="preserve">Nous nous interrogeons dans cet article sur l’impact de la certification des comptes publics locaux sur la gouvernance des organisations concernées (communes, départements, régions…) </w:t>
      </w:r>
      <w:r w:rsidR="00FE77CF" w:rsidRPr="008E25F4">
        <w:rPr>
          <w:rFonts w:cstheme="minorHAnsi"/>
        </w:rPr>
        <w:t xml:space="preserve">sachant que ce dispositif s’accompagne d’une réforme comptable substantielle </w:t>
      </w:r>
      <w:r w:rsidR="00E1735E" w:rsidRPr="008E25F4">
        <w:rPr>
          <w:rFonts w:cstheme="minorHAnsi"/>
        </w:rPr>
        <w:t>à savoir</w:t>
      </w:r>
      <w:r w:rsidR="004C50EE" w:rsidRPr="008E25F4">
        <w:rPr>
          <w:rFonts w:cstheme="minorHAnsi"/>
        </w:rPr>
        <w:t xml:space="preserve"> le </w:t>
      </w:r>
      <w:r w:rsidR="00FE77CF" w:rsidRPr="008E25F4">
        <w:rPr>
          <w:rFonts w:cstheme="minorHAnsi"/>
        </w:rPr>
        <w:t xml:space="preserve">passage à </w:t>
      </w:r>
      <w:r w:rsidR="004C50EE" w:rsidRPr="008E25F4">
        <w:rPr>
          <w:rFonts w:cstheme="minorHAnsi"/>
        </w:rPr>
        <w:t>une nouvelle</w:t>
      </w:r>
      <w:r w:rsidR="00FE77CF" w:rsidRPr="008E25F4">
        <w:rPr>
          <w:rFonts w:cstheme="minorHAnsi"/>
        </w:rPr>
        <w:t xml:space="preserve"> norme </w:t>
      </w:r>
      <w:r w:rsidR="004C50EE" w:rsidRPr="008E25F4">
        <w:rPr>
          <w:rFonts w:cstheme="minorHAnsi"/>
        </w:rPr>
        <w:t>(</w:t>
      </w:r>
      <w:r w:rsidR="00FE77CF" w:rsidRPr="008E25F4">
        <w:rPr>
          <w:rFonts w:cstheme="minorHAnsi"/>
        </w:rPr>
        <w:t>M57</w:t>
      </w:r>
      <w:r w:rsidR="004C50EE" w:rsidRPr="008E25F4">
        <w:rPr>
          <w:rFonts w:cstheme="minorHAnsi"/>
        </w:rPr>
        <w:t xml:space="preserve">) avec notamment l’introduction du Compte Financier Unique que nous présenterons. La conception de la gouvernance que nous retiendrons est liée aux parties prenantes principales d’une </w:t>
      </w:r>
      <w:r w:rsidR="008B4EA7" w:rsidRPr="008E25F4">
        <w:rPr>
          <w:rFonts w:cstheme="minorHAnsi"/>
        </w:rPr>
        <w:t>C</w:t>
      </w:r>
      <w:r w:rsidR="00431EC1" w:rsidRPr="008E25F4">
        <w:rPr>
          <w:rFonts w:cstheme="minorHAnsi"/>
        </w:rPr>
        <w:t>T</w:t>
      </w:r>
      <w:r w:rsidR="004C50EE" w:rsidRPr="008E25F4">
        <w:rPr>
          <w:rFonts w:cstheme="minorHAnsi"/>
        </w:rPr>
        <w:t xml:space="preserve"> à savoir les citoyens ou administrés, l’ordonnateur, représentant des citoyens qui est élu par eux directement ou indirectement ainsi que l’Assemblée délibérante (exemple : Conseil Municipal), le personnel en l’occurrence le directeur comptable et financier et ses collaborateurs, salarié de la </w:t>
      </w:r>
      <w:r w:rsidR="008B4EA7" w:rsidRPr="008E25F4">
        <w:rPr>
          <w:rFonts w:cstheme="minorHAnsi"/>
        </w:rPr>
        <w:t>Collectivité</w:t>
      </w:r>
      <w:r w:rsidR="004C50EE" w:rsidRPr="008E25F4">
        <w:rPr>
          <w:rFonts w:cstheme="minorHAnsi"/>
        </w:rPr>
        <w:t xml:space="preserve"> et enfin le comptable public qui est lui fonctionnaire de la Direction Générale des Finances Publiques (DGFIP).</w:t>
      </w:r>
      <w:r w:rsidR="00E1735E" w:rsidRPr="008E25F4">
        <w:rPr>
          <w:rFonts w:cstheme="minorHAnsi"/>
        </w:rPr>
        <w:t xml:space="preserve"> D’une définition générale de la gouvernance donnée par Paquet (2 000, p.9) « toutes les activités des agents ou de groupes sociaux, politiques, économiques, administratifs, qui contribuent par des efforts ciblés à orienter, guider ou contrôler certains aspects ou certaines dimensions particulières d’un système ou d’une socio-économie », nous retenons que celle de la </w:t>
      </w:r>
      <w:r w:rsidR="008B4EA7" w:rsidRPr="008E25F4">
        <w:rPr>
          <w:rFonts w:cstheme="minorHAnsi"/>
        </w:rPr>
        <w:t>C</w:t>
      </w:r>
      <w:r w:rsidR="00431EC1" w:rsidRPr="008E25F4">
        <w:rPr>
          <w:rFonts w:cstheme="minorHAnsi"/>
        </w:rPr>
        <w:t>T</w:t>
      </w:r>
      <w:r w:rsidR="00E1735E" w:rsidRPr="008E25F4">
        <w:rPr>
          <w:rFonts w:cstheme="minorHAnsi"/>
        </w:rPr>
        <w:t xml:space="preserve"> </w:t>
      </w:r>
      <w:r w:rsidR="00F950AA" w:rsidRPr="008E25F4">
        <w:rPr>
          <w:rFonts w:cstheme="minorHAnsi"/>
        </w:rPr>
        <w:t xml:space="preserve">peut être l’ensemble des procédures et </w:t>
      </w:r>
      <w:r w:rsidR="00034F84" w:rsidRPr="008E25F4">
        <w:rPr>
          <w:rFonts w:cstheme="minorHAnsi"/>
        </w:rPr>
        <w:t>mécanismes destinés à orienter, guider et contrôler les actions des gestionnaires (ordonnateur</w:t>
      </w:r>
      <w:r w:rsidR="00481EAF" w:rsidRPr="008E25F4">
        <w:rPr>
          <w:rFonts w:cstheme="minorHAnsi"/>
        </w:rPr>
        <w:t>,</w:t>
      </w:r>
      <w:r w:rsidR="00034F84" w:rsidRPr="008E25F4">
        <w:rPr>
          <w:rFonts w:cstheme="minorHAnsi"/>
        </w:rPr>
        <w:t xml:space="preserve"> </w:t>
      </w:r>
      <w:r w:rsidR="00481EAF" w:rsidRPr="008E25F4">
        <w:rPr>
          <w:rFonts w:cstheme="minorHAnsi"/>
        </w:rPr>
        <w:t xml:space="preserve"> assemblée délibérante </w:t>
      </w:r>
      <w:r w:rsidR="00034F84" w:rsidRPr="008E25F4">
        <w:rPr>
          <w:rFonts w:cstheme="minorHAnsi"/>
        </w:rPr>
        <w:t>et personnel) et du comptable public au service des citoyens</w:t>
      </w:r>
      <w:r w:rsidR="00426008" w:rsidRPr="008E25F4">
        <w:rPr>
          <w:rFonts w:cstheme="minorHAnsi"/>
        </w:rPr>
        <w:t xml:space="preserve"> et des autres parties prenantes que sont les fournisseurs, les prêteurs et les organisations publiques pourvoyeuses de subventions</w:t>
      </w:r>
      <w:r w:rsidR="00093E0B" w:rsidRPr="008E25F4">
        <w:rPr>
          <w:rFonts w:cstheme="minorHAnsi"/>
        </w:rPr>
        <w:t xml:space="preserve"> telles que l’Etat</w:t>
      </w:r>
      <w:r w:rsidR="00034F84" w:rsidRPr="008E25F4">
        <w:rPr>
          <w:rFonts w:cstheme="minorHAnsi"/>
        </w:rPr>
        <w:t>.</w:t>
      </w:r>
      <w:r w:rsidR="00A94C4E" w:rsidRPr="008E25F4">
        <w:rPr>
          <w:rFonts w:cstheme="minorHAnsi"/>
        </w:rPr>
        <w:t xml:space="preserve"> </w:t>
      </w:r>
    </w:p>
    <w:p w14:paraId="508820E3" w14:textId="3DE47065" w:rsidR="00400912" w:rsidRPr="0062463D" w:rsidRDefault="008B71B7" w:rsidP="00932E08">
      <w:pPr>
        <w:suppressAutoHyphens/>
        <w:autoSpaceDE w:val="0"/>
        <w:autoSpaceDN w:val="0"/>
        <w:adjustRightInd w:val="0"/>
        <w:jc w:val="both"/>
        <w:rPr>
          <w:rFonts w:cstheme="minorHAnsi"/>
          <w:color w:val="000000" w:themeColor="text1"/>
        </w:rPr>
      </w:pPr>
      <w:r w:rsidRPr="0062463D">
        <w:rPr>
          <w:rFonts w:cstheme="minorHAnsi"/>
          <w:color w:val="000000" w:themeColor="text1"/>
        </w:rPr>
        <w:t xml:space="preserve">La comptabilité publique est fondée sur le principe de séparation des fonctions entre l’ordonnateur et le comptable, elle comporte la comptabilité de l’ordonnateur dite administrative et celle du comptable. </w:t>
      </w:r>
      <w:r w:rsidR="00A94C4E" w:rsidRPr="0062463D">
        <w:rPr>
          <w:rFonts w:cstheme="minorHAnsi"/>
          <w:color w:val="000000" w:themeColor="text1"/>
        </w:rPr>
        <w:t xml:space="preserve">La définition du gouvernement d’entreprise de </w:t>
      </w:r>
      <w:proofErr w:type="spellStart"/>
      <w:r w:rsidR="00A94C4E" w:rsidRPr="0062463D">
        <w:rPr>
          <w:rFonts w:cstheme="minorHAnsi"/>
          <w:color w:val="000000" w:themeColor="text1"/>
        </w:rPr>
        <w:t>Charreaux</w:t>
      </w:r>
      <w:proofErr w:type="spellEnd"/>
      <w:r w:rsidR="00A94C4E" w:rsidRPr="0062463D">
        <w:rPr>
          <w:rFonts w:cstheme="minorHAnsi"/>
          <w:color w:val="000000" w:themeColor="text1"/>
        </w:rPr>
        <w:t xml:space="preserve"> (1997, p</w:t>
      </w:r>
      <w:r w:rsidR="00926578" w:rsidRPr="0062463D">
        <w:rPr>
          <w:rFonts w:cstheme="minorHAnsi"/>
          <w:color w:val="000000" w:themeColor="text1"/>
        </w:rPr>
        <w:t xml:space="preserve"> </w:t>
      </w:r>
      <w:r w:rsidR="00A94C4E" w:rsidRPr="0062463D">
        <w:rPr>
          <w:rFonts w:cstheme="minorHAnsi"/>
          <w:color w:val="000000" w:themeColor="text1"/>
        </w:rPr>
        <w:t>421-422) que l’auteur étend aux organisations publiques</w:t>
      </w:r>
      <w:r w:rsidR="00A732ED" w:rsidRPr="0062463D">
        <w:rPr>
          <w:rFonts w:cstheme="minorHAnsi"/>
          <w:color w:val="000000" w:themeColor="text1"/>
        </w:rPr>
        <w:t>,</w:t>
      </w:r>
      <w:r w:rsidR="00CD3AAF" w:rsidRPr="0062463D">
        <w:rPr>
          <w:rFonts w:cstheme="minorHAnsi"/>
          <w:color w:val="000000" w:themeColor="text1"/>
        </w:rPr>
        <w:t xml:space="preserve"> mentionne que ce sont « l’ensemble des mécanismes qui ont pour effet de délimiter les pouvoirs et d’influencer les décisions des dirigeants, autrement dit qui gouvernent leur conduite et définissent leur espace discrétionnaire ».  </w:t>
      </w:r>
      <w:r w:rsidR="003352B4" w:rsidRPr="0062463D">
        <w:rPr>
          <w:rFonts w:cstheme="minorHAnsi"/>
          <w:color w:val="000000" w:themeColor="text1"/>
        </w:rPr>
        <w:t xml:space="preserve">Selon cette acception de la gouvernance, </w:t>
      </w:r>
      <w:r w:rsidR="005142CD" w:rsidRPr="0062463D">
        <w:rPr>
          <w:rFonts w:cstheme="minorHAnsi"/>
          <w:color w:val="000000" w:themeColor="text1"/>
        </w:rPr>
        <w:t>une des</w:t>
      </w:r>
      <w:r w:rsidR="003352B4" w:rsidRPr="0062463D">
        <w:rPr>
          <w:rFonts w:cstheme="minorHAnsi"/>
          <w:color w:val="000000" w:themeColor="text1"/>
        </w:rPr>
        <w:t xml:space="preserve"> mission</w:t>
      </w:r>
      <w:r w:rsidR="005142CD" w:rsidRPr="0062463D">
        <w:rPr>
          <w:rFonts w:cstheme="minorHAnsi"/>
          <w:color w:val="000000" w:themeColor="text1"/>
        </w:rPr>
        <w:t>s</w:t>
      </w:r>
      <w:r w:rsidR="003352B4" w:rsidRPr="0062463D">
        <w:rPr>
          <w:rFonts w:cstheme="minorHAnsi"/>
          <w:color w:val="000000" w:themeColor="text1"/>
        </w:rPr>
        <w:t xml:space="preserve"> du comptable public constitue un des mécanismes de gouvernance</w:t>
      </w:r>
      <w:r w:rsidR="00481EAF" w:rsidRPr="0062463D">
        <w:rPr>
          <w:rFonts w:cstheme="minorHAnsi"/>
          <w:color w:val="000000" w:themeColor="text1"/>
        </w:rPr>
        <w:t xml:space="preserve"> puisqu’il </w:t>
      </w:r>
      <w:r w:rsidR="00C7091F" w:rsidRPr="0062463D">
        <w:rPr>
          <w:rFonts w:cstheme="minorHAnsi"/>
          <w:color w:val="000000" w:themeColor="text1"/>
        </w:rPr>
        <w:t xml:space="preserve">doit </w:t>
      </w:r>
      <w:r w:rsidR="00E70102" w:rsidRPr="0062463D">
        <w:rPr>
          <w:rFonts w:cstheme="minorHAnsi"/>
          <w:color w:val="000000" w:themeColor="text1"/>
        </w:rPr>
        <w:t>contrôler les ordres de recouvrer (régularité de l’autorisation de percevoir la recette, mise en recouvrement des créances), et les ordres de payer (qualité de l’ordonnateur, exacte imputation des dépenses, disponibilité des crédits, validité de la dette, caractère libératoire du paiement) émis par l’ordonnateur.</w:t>
      </w:r>
      <w:r w:rsidR="00410303" w:rsidRPr="0062463D">
        <w:rPr>
          <w:rFonts w:cstheme="minorHAnsi"/>
          <w:color w:val="000000" w:themeColor="text1"/>
        </w:rPr>
        <w:t xml:space="preserve"> </w:t>
      </w:r>
      <w:r w:rsidR="00400912" w:rsidRPr="0062463D">
        <w:rPr>
          <w:rFonts w:cstheme="minorHAnsi"/>
          <w:color w:val="000000" w:themeColor="text1"/>
        </w:rPr>
        <w:t xml:space="preserve">Le </w:t>
      </w:r>
      <w:r w:rsidR="00481EAF" w:rsidRPr="0062463D">
        <w:rPr>
          <w:rFonts w:cstheme="minorHAnsi"/>
          <w:color w:val="000000" w:themeColor="text1"/>
        </w:rPr>
        <w:t>contrôle</w:t>
      </w:r>
      <w:r w:rsidR="00400912" w:rsidRPr="0062463D">
        <w:rPr>
          <w:rFonts w:cstheme="minorHAnsi"/>
          <w:color w:val="000000" w:themeColor="text1"/>
        </w:rPr>
        <w:t xml:space="preserve"> comptable interne</w:t>
      </w:r>
      <w:r w:rsidR="00410303" w:rsidRPr="0062463D">
        <w:rPr>
          <w:rFonts w:cstheme="minorHAnsi"/>
          <w:color w:val="000000" w:themeColor="text1"/>
        </w:rPr>
        <w:t xml:space="preserve"> et </w:t>
      </w:r>
      <w:r w:rsidR="002B5388" w:rsidRPr="0062463D">
        <w:rPr>
          <w:rFonts w:cstheme="minorHAnsi"/>
          <w:color w:val="000000" w:themeColor="text1"/>
        </w:rPr>
        <w:t>le contrôle juridictionnel par la Préfecture et la C</w:t>
      </w:r>
      <w:r w:rsidR="00431EC1" w:rsidRPr="0062463D">
        <w:rPr>
          <w:rFonts w:cstheme="minorHAnsi"/>
          <w:color w:val="000000" w:themeColor="text1"/>
        </w:rPr>
        <w:t>RC</w:t>
      </w:r>
      <w:r w:rsidR="002B5388" w:rsidRPr="0062463D">
        <w:rPr>
          <w:rFonts w:cstheme="minorHAnsi"/>
          <w:color w:val="000000" w:themeColor="text1"/>
        </w:rPr>
        <w:t xml:space="preserve"> </w:t>
      </w:r>
      <w:r w:rsidR="00400912" w:rsidRPr="0062463D">
        <w:rPr>
          <w:rFonts w:cstheme="minorHAnsi"/>
          <w:color w:val="000000" w:themeColor="text1"/>
        </w:rPr>
        <w:t xml:space="preserve">constituent </w:t>
      </w:r>
      <w:r w:rsidR="00410303" w:rsidRPr="0062463D">
        <w:rPr>
          <w:rFonts w:cstheme="minorHAnsi"/>
          <w:color w:val="000000" w:themeColor="text1"/>
        </w:rPr>
        <w:t>des</w:t>
      </w:r>
      <w:r w:rsidR="00400912" w:rsidRPr="0062463D">
        <w:rPr>
          <w:rFonts w:cstheme="minorHAnsi"/>
          <w:color w:val="000000" w:themeColor="text1"/>
        </w:rPr>
        <w:t xml:space="preserve"> volets importants de la gouvernance des CT</w:t>
      </w:r>
      <w:r w:rsidR="003901CE" w:rsidRPr="0062463D">
        <w:rPr>
          <w:rFonts w:cstheme="minorHAnsi"/>
          <w:color w:val="000000" w:themeColor="text1"/>
        </w:rPr>
        <w:t>.</w:t>
      </w:r>
      <w:r w:rsidR="00410303" w:rsidRPr="0062463D">
        <w:rPr>
          <w:rFonts w:cstheme="minorHAnsi"/>
          <w:color w:val="000000" w:themeColor="text1"/>
        </w:rPr>
        <w:t xml:space="preserve"> </w:t>
      </w:r>
      <w:r w:rsidR="00BC311E" w:rsidRPr="0062463D">
        <w:rPr>
          <w:rFonts w:cstheme="minorHAnsi"/>
          <w:color w:val="000000" w:themeColor="text1"/>
        </w:rPr>
        <w:t>A</w:t>
      </w:r>
      <w:r w:rsidR="00410303" w:rsidRPr="0062463D">
        <w:rPr>
          <w:rFonts w:cstheme="minorHAnsi"/>
          <w:color w:val="000000" w:themeColor="text1"/>
        </w:rPr>
        <w:t>ussi la certification des comptes</w:t>
      </w:r>
      <w:r w:rsidR="00BC311E" w:rsidRPr="0062463D">
        <w:rPr>
          <w:rFonts w:cstheme="minorHAnsi"/>
          <w:color w:val="000000" w:themeColor="text1"/>
        </w:rPr>
        <w:t xml:space="preserve"> </w:t>
      </w:r>
      <w:r w:rsidR="003901CE" w:rsidRPr="0062463D">
        <w:rPr>
          <w:rFonts w:cstheme="minorHAnsi"/>
          <w:color w:val="000000" w:themeColor="text1"/>
        </w:rPr>
        <w:t>est</w:t>
      </w:r>
      <w:r w:rsidR="00171A1A" w:rsidRPr="0062463D">
        <w:rPr>
          <w:rFonts w:cstheme="minorHAnsi"/>
          <w:color w:val="000000" w:themeColor="text1"/>
        </w:rPr>
        <w:t xml:space="preserve"> un mécanisme de gouvernance que </w:t>
      </w:r>
      <w:proofErr w:type="spellStart"/>
      <w:r w:rsidR="00171A1A" w:rsidRPr="0062463D">
        <w:rPr>
          <w:rFonts w:cstheme="minorHAnsi"/>
          <w:color w:val="000000" w:themeColor="text1"/>
        </w:rPr>
        <w:t>Charreaux</w:t>
      </w:r>
      <w:proofErr w:type="spellEnd"/>
      <w:r w:rsidR="00171A1A" w:rsidRPr="0062463D">
        <w:rPr>
          <w:rFonts w:cstheme="minorHAnsi"/>
          <w:color w:val="000000" w:themeColor="text1"/>
        </w:rPr>
        <w:t xml:space="preserve"> (1997, p 427) qualifie </w:t>
      </w:r>
      <w:r w:rsidR="00E148CB" w:rsidRPr="0062463D">
        <w:rPr>
          <w:rFonts w:cstheme="minorHAnsi"/>
          <w:color w:val="000000" w:themeColor="text1"/>
        </w:rPr>
        <w:t xml:space="preserve">à la fois </w:t>
      </w:r>
      <w:r w:rsidR="00171A1A" w:rsidRPr="0062463D">
        <w:rPr>
          <w:rFonts w:cstheme="minorHAnsi"/>
          <w:color w:val="000000" w:themeColor="text1"/>
        </w:rPr>
        <w:t>d’intentionnel, parce que résultat de la loi, et de non spécifique</w:t>
      </w:r>
      <w:r w:rsidR="009F4534" w:rsidRPr="0062463D">
        <w:rPr>
          <w:rFonts w:cstheme="minorHAnsi"/>
          <w:color w:val="000000" w:themeColor="text1"/>
        </w:rPr>
        <w:t xml:space="preserve">. Son introduction dans les CT </w:t>
      </w:r>
      <w:r w:rsidR="00863E4E" w:rsidRPr="0062463D">
        <w:rPr>
          <w:rFonts w:cstheme="minorHAnsi"/>
          <w:color w:val="000000" w:themeColor="text1"/>
        </w:rPr>
        <w:t xml:space="preserve">nous conduit à s’interroger sur </w:t>
      </w:r>
      <w:r w:rsidR="00A96C87" w:rsidRPr="0062463D">
        <w:rPr>
          <w:rFonts w:cstheme="minorHAnsi"/>
          <w:color w:val="000000" w:themeColor="text1"/>
        </w:rPr>
        <w:t>s</w:t>
      </w:r>
      <w:r w:rsidR="00863E4E" w:rsidRPr="0062463D">
        <w:rPr>
          <w:rFonts w:cstheme="minorHAnsi"/>
          <w:color w:val="000000" w:themeColor="text1"/>
        </w:rPr>
        <w:t>es conséquences en matière de gouvernance.</w:t>
      </w:r>
      <w:r w:rsidR="00171A1A" w:rsidRPr="0062463D">
        <w:rPr>
          <w:rFonts w:cstheme="minorHAnsi"/>
          <w:color w:val="000000" w:themeColor="text1"/>
        </w:rPr>
        <w:t xml:space="preserve"> </w:t>
      </w:r>
    </w:p>
    <w:p w14:paraId="73A0F6E7" w14:textId="0CA8AB06" w:rsidR="007C0405" w:rsidRPr="008E25F4" w:rsidRDefault="00093E0B" w:rsidP="00932E08">
      <w:pPr>
        <w:suppressAutoHyphens/>
        <w:jc w:val="both"/>
        <w:rPr>
          <w:rFonts w:cstheme="minorHAnsi"/>
        </w:rPr>
      </w:pPr>
      <w:r w:rsidRPr="008E25F4">
        <w:rPr>
          <w:rFonts w:cstheme="minorHAnsi"/>
        </w:rPr>
        <w:t xml:space="preserve">Nous aborderons l’examen de l’évolution de la gouvernance des </w:t>
      </w:r>
      <w:r w:rsidR="008B4EA7" w:rsidRPr="008E25F4">
        <w:rPr>
          <w:rFonts w:cstheme="minorHAnsi"/>
        </w:rPr>
        <w:t>C</w:t>
      </w:r>
      <w:r w:rsidR="00431EC1" w:rsidRPr="008E25F4">
        <w:rPr>
          <w:rFonts w:cstheme="minorHAnsi"/>
        </w:rPr>
        <w:t>T</w:t>
      </w:r>
      <w:r w:rsidRPr="008E25F4">
        <w:rPr>
          <w:rFonts w:cstheme="minorHAnsi"/>
        </w:rPr>
        <w:t xml:space="preserve"> sous l’angle de la théorie de l’agence et de la théorie de l’intendance comme modèles pour appréhender comment un changement de paradigme est envisageable avec l’introduction de la certification des comptes de ces organisations publiques. Nous étudierons dans un premier temps la relation entre l’ordonnateur et le citoyen et dans un deuxième </w:t>
      </w:r>
      <w:r w:rsidR="00BB68BA" w:rsidRPr="008E25F4">
        <w:rPr>
          <w:rFonts w:cstheme="minorHAnsi"/>
        </w:rPr>
        <w:t>temps</w:t>
      </w:r>
      <w:r w:rsidRPr="008E25F4">
        <w:rPr>
          <w:rFonts w:cstheme="minorHAnsi"/>
        </w:rPr>
        <w:t xml:space="preserve"> les liens entre l’ordonnateur et le comptable public. </w:t>
      </w:r>
    </w:p>
    <w:p w14:paraId="012CE532" w14:textId="77777777" w:rsidR="000818F6" w:rsidRPr="008E25F4" w:rsidRDefault="000818F6" w:rsidP="00932E08">
      <w:pPr>
        <w:suppressAutoHyphens/>
        <w:jc w:val="both"/>
        <w:rPr>
          <w:rFonts w:cstheme="minorHAnsi"/>
        </w:rPr>
      </w:pPr>
    </w:p>
    <w:p w14:paraId="2BC027FD" w14:textId="13F9A0D0" w:rsidR="00D46B43" w:rsidRPr="00D46B43" w:rsidRDefault="00D46B43" w:rsidP="00D46B43">
      <w:pPr>
        <w:pStyle w:val="Style1"/>
        <w:numPr>
          <w:ilvl w:val="0"/>
          <w:numId w:val="0"/>
        </w:numPr>
        <w:spacing w:before="360" w:after="240" w:line="259" w:lineRule="auto"/>
        <w:ind w:left="720" w:hanging="720"/>
        <w:rPr>
          <w:b/>
          <w:bCs/>
          <w:sz w:val="24"/>
          <w:szCs w:val="24"/>
          <w:u w:val="none"/>
        </w:rPr>
      </w:pPr>
      <w:r w:rsidRPr="00D46B43">
        <w:rPr>
          <w:b/>
          <w:bCs/>
          <w:sz w:val="24"/>
          <w:szCs w:val="24"/>
          <w:u w:val="none"/>
        </w:rPr>
        <w:t>1. La certification des comptes au service de la relation entre ordonnateur et citoyens </w:t>
      </w:r>
    </w:p>
    <w:p w14:paraId="32616A95" w14:textId="05CADFFE" w:rsidR="00C9106F" w:rsidRPr="00D46B43" w:rsidRDefault="00C9106F" w:rsidP="00D46B43"/>
    <w:p w14:paraId="5E42B18B" w14:textId="755EA6F4" w:rsidR="00A34B26" w:rsidRPr="008E25F4" w:rsidRDefault="00A34B26" w:rsidP="00932E08">
      <w:pPr>
        <w:suppressAutoHyphens/>
        <w:jc w:val="both"/>
        <w:rPr>
          <w:rFonts w:cstheme="minorHAnsi"/>
        </w:rPr>
      </w:pPr>
      <w:r w:rsidRPr="008E25F4">
        <w:rPr>
          <w:rFonts w:cstheme="minorHAnsi"/>
        </w:rPr>
        <w:t>Les ordonnateurs prescrivent l’exécution des recettes et des dépenses : d’une part ils liquident</w:t>
      </w:r>
      <w:r w:rsidRPr="008E25F4">
        <w:rPr>
          <w:rStyle w:val="Appelnotedebasdep"/>
          <w:rFonts w:cstheme="minorHAnsi"/>
        </w:rPr>
        <w:footnoteReference w:id="3"/>
      </w:r>
      <w:r w:rsidRPr="008E25F4">
        <w:rPr>
          <w:rFonts w:cstheme="minorHAnsi"/>
        </w:rPr>
        <w:t xml:space="preserve"> les recettes et émettent les ordres de recouvrer et d’autre part ils engagent, liquident et ordonnancent les dépenses. Ils peuvent assurer la programmation et la répartition des crédits. Ils transmettent au </w:t>
      </w:r>
      <w:r w:rsidRPr="008E25F4">
        <w:rPr>
          <w:rFonts w:cstheme="minorHAnsi"/>
        </w:rPr>
        <w:lastRenderedPageBreak/>
        <w:t>comptable public compétent les ordres de recouvrer et de payer ainsi que les pièces justificatives correspondantes. Ils établissent les documents nécessaires à la tenue, par les comptables publics, des comptabilités budgétaire et générale</w:t>
      </w:r>
      <w:r w:rsidR="00456880" w:rsidRPr="008E25F4">
        <w:rPr>
          <w:rFonts w:cstheme="minorHAnsi"/>
        </w:rPr>
        <w:t xml:space="preserve"> et</w:t>
      </w:r>
      <w:r w:rsidRPr="008E25F4">
        <w:rPr>
          <w:rFonts w:cstheme="minorHAnsi"/>
        </w:rPr>
        <w:t xml:space="preserve"> sont chargés de la réalisation du Compte Administratif, synthèse de l’exécution du budget</w:t>
      </w:r>
      <w:r w:rsidR="00C172D6" w:rsidRPr="008E25F4">
        <w:rPr>
          <w:rFonts w:cstheme="minorHAnsi"/>
        </w:rPr>
        <w:t xml:space="preserve"> et retracée dans une comptabilité administrative.</w:t>
      </w:r>
      <w:r w:rsidRPr="008E25F4">
        <w:rPr>
          <w:rFonts w:cstheme="minorHAnsi"/>
        </w:rPr>
        <w:t xml:space="preserve"> Ils encourent une responsabilité dans les conditions fixées par la loi.</w:t>
      </w:r>
    </w:p>
    <w:p w14:paraId="3FA1F78D" w14:textId="77777777" w:rsidR="008627CB" w:rsidRPr="008E25F4" w:rsidRDefault="008627CB" w:rsidP="00932E08">
      <w:pPr>
        <w:suppressAutoHyphens/>
        <w:jc w:val="both"/>
        <w:rPr>
          <w:rFonts w:cstheme="minorHAnsi"/>
        </w:rPr>
      </w:pPr>
      <w:r w:rsidRPr="008E25F4">
        <w:rPr>
          <w:rFonts w:cstheme="minorHAnsi"/>
        </w:rPr>
        <w:t xml:space="preserve">Que peut-on attendre de la certification des comptes si nous analysons les relations entre l’élu et les citoyens comme des relations entre un agent ou un intendant et des principaux ? </w:t>
      </w:r>
    </w:p>
    <w:p w14:paraId="43A2BA7C" w14:textId="77777777" w:rsidR="00973875" w:rsidRPr="00F8392F" w:rsidRDefault="00973875" w:rsidP="0062463D">
      <w:pPr>
        <w:pStyle w:val="Style2"/>
        <w:suppressAutoHyphens/>
        <w:spacing w:before="360" w:beforeAutospacing="0" w:after="360" w:afterAutospacing="0"/>
        <w:rPr>
          <w:rFonts w:asciiTheme="minorHAnsi" w:hAnsiTheme="minorHAnsi" w:cstheme="minorHAnsi"/>
          <w:szCs w:val="24"/>
        </w:rPr>
      </w:pPr>
    </w:p>
    <w:p w14:paraId="54D8EDDA" w14:textId="658BB188" w:rsidR="00C93207" w:rsidRPr="00F8392F" w:rsidRDefault="00620E10" w:rsidP="00471DB0">
      <w:pPr>
        <w:pStyle w:val="Style2"/>
        <w:numPr>
          <w:ilvl w:val="1"/>
          <w:numId w:val="12"/>
        </w:numPr>
        <w:suppressAutoHyphens/>
        <w:spacing w:before="360" w:beforeAutospacing="0" w:after="240" w:afterAutospacing="0"/>
        <w:rPr>
          <w:rFonts w:asciiTheme="minorHAnsi" w:hAnsiTheme="minorHAnsi" w:cstheme="minorHAnsi"/>
          <w:szCs w:val="24"/>
        </w:rPr>
      </w:pPr>
      <w:r>
        <w:rPr>
          <w:rFonts w:asciiTheme="minorHAnsi" w:hAnsiTheme="minorHAnsi" w:cstheme="minorHAnsi"/>
          <w:szCs w:val="24"/>
        </w:rPr>
        <w:t>L’</w:t>
      </w:r>
      <w:r w:rsidR="00C93207" w:rsidRPr="00F8392F">
        <w:rPr>
          <w:rFonts w:asciiTheme="minorHAnsi" w:hAnsiTheme="minorHAnsi" w:cstheme="minorHAnsi"/>
          <w:szCs w:val="24"/>
        </w:rPr>
        <w:t>ordonnateur (</w:t>
      </w:r>
      <w:r w:rsidR="006B73F5" w:rsidRPr="00F8392F">
        <w:rPr>
          <w:rFonts w:asciiTheme="minorHAnsi" w:hAnsiTheme="minorHAnsi" w:cstheme="minorHAnsi"/>
          <w:szCs w:val="24"/>
        </w:rPr>
        <w:t>l’</w:t>
      </w:r>
      <w:r w:rsidR="00C93207" w:rsidRPr="00F8392F">
        <w:rPr>
          <w:rFonts w:asciiTheme="minorHAnsi" w:hAnsiTheme="minorHAnsi" w:cstheme="minorHAnsi"/>
          <w:szCs w:val="24"/>
        </w:rPr>
        <w:t xml:space="preserve">élu) </w:t>
      </w:r>
      <w:r w:rsidR="00254D41" w:rsidRPr="00F8392F">
        <w:rPr>
          <w:rFonts w:asciiTheme="minorHAnsi" w:hAnsiTheme="minorHAnsi" w:cstheme="minorHAnsi"/>
          <w:szCs w:val="24"/>
        </w:rPr>
        <w:t xml:space="preserve">est </w:t>
      </w:r>
      <w:r w:rsidR="00C93207" w:rsidRPr="00F8392F">
        <w:rPr>
          <w:rFonts w:asciiTheme="minorHAnsi" w:hAnsiTheme="minorHAnsi" w:cstheme="minorHAnsi"/>
          <w:szCs w:val="24"/>
        </w:rPr>
        <w:t>à la recherche de légitimité </w:t>
      </w:r>
    </w:p>
    <w:p w14:paraId="2129B6FD" w14:textId="09673F14" w:rsidR="003A6EDC" w:rsidRPr="008E25F4" w:rsidRDefault="002F7FE3" w:rsidP="00932E08">
      <w:pPr>
        <w:pStyle w:val="Notedebasdepage"/>
        <w:suppressAutoHyphens/>
        <w:spacing w:after="120"/>
        <w:jc w:val="both"/>
        <w:rPr>
          <w:rFonts w:cstheme="minorHAnsi"/>
          <w:sz w:val="22"/>
          <w:szCs w:val="22"/>
        </w:rPr>
      </w:pPr>
      <w:r w:rsidRPr="008E25F4">
        <w:rPr>
          <w:rFonts w:cstheme="minorHAnsi"/>
          <w:sz w:val="22"/>
          <w:szCs w:val="22"/>
        </w:rPr>
        <w:t xml:space="preserve">L’ordonnateur, un élu direct ou indirect, agit en tant que représentant des citoyens et de leurs intérêts. </w:t>
      </w:r>
      <w:r w:rsidR="00462086" w:rsidRPr="008E25F4">
        <w:rPr>
          <w:rFonts w:cstheme="minorHAnsi"/>
          <w:sz w:val="22"/>
          <w:szCs w:val="22"/>
        </w:rPr>
        <w:t>Hertzog (2016</w:t>
      </w:r>
      <w:r w:rsidR="00910532" w:rsidRPr="008E25F4">
        <w:rPr>
          <w:rFonts w:cstheme="minorHAnsi"/>
          <w:sz w:val="22"/>
          <w:szCs w:val="22"/>
        </w:rPr>
        <w:t>,</w:t>
      </w:r>
      <w:r w:rsidR="00F478F6" w:rsidRPr="008E25F4">
        <w:rPr>
          <w:rFonts w:cstheme="minorHAnsi"/>
          <w:sz w:val="22"/>
          <w:szCs w:val="22"/>
        </w:rPr>
        <w:t xml:space="preserve"> </w:t>
      </w:r>
      <w:r w:rsidR="00910532" w:rsidRPr="008E25F4">
        <w:rPr>
          <w:rFonts w:cstheme="minorHAnsi"/>
          <w:sz w:val="22"/>
          <w:szCs w:val="22"/>
        </w:rPr>
        <w:t>p 1017</w:t>
      </w:r>
      <w:r w:rsidR="00462086" w:rsidRPr="008E25F4">
        <w:rPr>
          <w:rFonts w:cstheme="minorHAnsi"/>
          <w:sz w:val="22"/>
          <w:szCs w:val="22"/>
        </w:rPr>
        <w:t>) voit en ce fondement de la démocratie une contradiction : l’élu n’est ni un mandataire, ni un délégué, les fonctions qu’il exerce correspondent à un statut mais ne résulte</w:t>
      </w:r>
      <w:r w:rsidR="001B5DFE" w:rsidRPr="008E25F4">
        <w:rPr>
          <w:rFonts w:cstheme="minorHAnsi"/>
          <w:sz w:val="22"/>
          <w:szCs w:val="22"/>
        </w:rPr>
        <w:t>nt</w:t>
      </w:r>
      <w:r w:rsidR="00462086" w:rsidRPr="008E25F4">
        <w:rPr>
          <w:rFonts w:cstheme="minorHAnsi"/>
          <w:sz w:val="22"/>
          <w:szCs w:val="22"/>
        </w:rPr>
        <w:t xml:space="preserve"> pas d’une convention passée avec des mandants. Il n’est pas lié à ses électeurs par un droit, sa fonction est d</w:t>
      </w:r>
      <w:r w:rsidR="00FB3DBA" w:rsidRPr="008E25F4">
        <w:rPr>
          <w:rFonts w:cstheme="minorHAnsi"/>
          <w:sz w:val="22"/>
          <w:szCs w:val="22"/>
        </w:rPr>
        <w:t>u</w:t>
      </w:r>
      <w:r w:rsidR="00462086" w:rsidRPr="008E25F4">
        <w:rPr>
          <w:rFonts w:cstheme="minorHAnsi"/>
          <w:sz w:val="22"/>
          <w:szCs w:val="22"/>
        </w:rPr>
        <w:t>e à la fraction des administrés qui a voté pour lui. « Une fois désigné, l’élu représente l’ensemble de la communauté politique concernée et est censé agir au mieux pour son bien commun en tant qu’organe de la personne publique</w:t>
      </w:r>
      <w:r w:rsidR="007A604F" w:rsidRPr="008E25F4">
        <w:rPr>
          <w:rFonts w:cstheme="minorHAnsi"/>
          <w:sz w:val="22"/>
          <w:szCs w:val="22"/>
        </w:rPr>
        <w:t>…il prend la place des citoyens et hérite de leur pouvoir ». Il en découle que l’élu politique n’est le représentant d’aucune personne réelle et qu’aucune procédure de responsabilité politique et de reddi</w:t>
      </w:r>
      <w:r w:rsidR="001B5DFE" w:rsidRPr="008E25F4">
        <w:rPr>
          <w:rFonts w:cstheme="minorHAnsi"/>
          <w:sz w:val="22"/>
          <w:szCs w:val="22"/>
        </w:rPr>
        <w:t>tion</w:t>
      </w:r>
      <w:r w:rsidR="007A604F" w:rsidRPr="008E25F4">
        <w:rPr>
          <w:rFonts w:cstheme="minorHAnsi"/>
          <w:sz w:val="22"/>
          <w:szCs w:val="22"/>
        </w:rPr>
        <w:t xml:space="preserve"> de comptes ne peut être organisée puisqu’</w:t>
      </w:r>
      <w:r w:rsidR="001B5DFE" w:rsidRPr="008E25F4">
        <w:rPr>
          <w:rFonts w:cstheme="minorHAnsi"/>
          <w:sz w:val="22"/>
          <w:szCs w:val="22"/>
        </w:rPr>
        <w:t>on méconnait ses engagements</w:t>
      </w:r>
      <w:r w:rsidR="007A604F" w:rsidRPr="008E25F4">
        <w:rPr>
          <w:rFonts w:cstheme="minorHAnsi"/>
          <w:sz w:val="22"/>
          <w:szCs w:val="22"/>
        </w:rPr>
        <w:t>, engagements qui pourraient être jugés. On pourra dire que l’élu sera jugé au moment des prochaines élections à travers le vote des citoyens</w:t>
      </w:r>
      <w:r w:rsidR="008D43A5" w:rsidRPr="008E25F4">
        <w:rPr>
          <w:rFonts w:cstheme="minorHAnsi"/>
          <w:sz w:val="22"/>
          <w:szCs w:val="22"/>
        </w:rPr>
        <w:t>.</w:t>
      </w:r>
      <w:r w:rsidR="007A604F" w:rsidRPr="008E25F4">
        <w:rPr>
          <w:rFonts w:cstheme="minorHAnsi"/>
          <w:sz w:val="22"/>
          <w:szCs w:val="22"/>
        </w:rPr>
        <w:t xml:space="preserve"> </w:t>
      </w:r>
      <w:r w:rsidR="008D43A5" w:rsidRPr="008E25F4">
        <w:rPr>
          <w:rFonts w:cstheme="minorHAnsi"/>
          <w:sz w:val="22"/>
          <w:szCs w:val="22"/>
        </w:rPr>
        <w:t>Hertzog considère que c’est un mythe car les réélections ne se jouent pas sur le bilan des actions menées et résultats obtenus.</w:t>
      </w:r>
    </w:p>
    <w:p w14:paraId="585DC5E0" w14:textId="272555DC" w:rsidR="005440D3" w:rsidRPr="008E25F4" w:rsidRDefault="00C51FD1" w:rsidP="00932E08">
      <w:pPr>
        <w:suppressAutoHyphens/>
        <w:jc w:val="both"/>
        <w:rPr>
          <w:rFonts w:cstheme="minorHAnsi"/>
        </w:rPr>
      </w:pPr>
      <w:r w:rsidRPr="008E25F4">
        <w:rPr>
          <w:rFonts w:cstheme="minorHAnsi"/>
        </w:rPr>
        <w:t>Même si Lafarge (2016</w:t>
      </w:r>
      <w:r w:rsidR="00F478F6" w:rsidRPr="008E25F4">
        <w:rPr>
          <w:rFonts w:cstheme="minorHAnsi"/>
        </w:rPr>
        <w:t>, p 986</w:t>
      </w:r>
      <w:r w:rsidRPr="008E25F4">
        <w:rPr>
          <w:rFonts w:cstheme="minorHAnsi"/>
        </w:rPr>
        <w:t xml:space="preserve">) considère l’élection des représentants des citoyens comme légitime en démocratie, il souligne que la complexification de l’action publique due à la fois au nombre et à l’éclatement des acteurs impliqués et à la difficulté de traitement de réalités sociales complexes conduit ceux qui l’ont en charge à rechercher une légitimation procédurale (respect des procédures) ou de résultats. </w:t>
      </w:r>
      <w:r w:rsidR="00922932" w:rsidRPr="008E25F4">
        <w:rPr>
          <w:rFonts w:cstheme="minorHAnsi"/>
        </w:rPr>
        <w:t xml:space="preserve">Ces légitimations vont se matérialiser et s’exprimer par la redevabilité qui comporte la reddition des comptes. </w:t>
      </w:r>
      <w:r w:rsidR="00607D8D" w:rsidRPr="008E25F4">
        <w:rPr>
          <w:rFonts w:cstheme="minorHAnsi"/>
        </w:rPr>
        <w:t>L</w:t>
      </w:r>
      <w:r w:rsidR="00BB5119" w:rsidRPr="008E25F4">
        <w:rPr>
          <w:rFonts w:cstheme="minorHAnsi"/>
        </w:rPr>
        <w:t>a multiplicité des finalités des organisations publiques</w:t>
      </w:r>
      <w:r w:rsidR="00F478F6" w:rsidRPr="008E25F4">
        <w:rPr>
          <w:rFonts w:cstheme="minorHAnsi"/>
        </w:rPr>
        <w:t xml:space="preserve"> </w:t>
      </w:r>
      <w:r w:rsidR="00BB5119" w:rsidRPr="008E25F4">
        <w:rPr>
          <w:rFonts w:cstheme="minorHAnsi"/>
        </w:rPr>
        <w:t xml:space="preserve">et notamment des </w:t>
      </w:r>
      <w:r w:rsidR="008B4EA7" w:rsidRPr="008E25F4">
        <w:rPr>
          <w:rFonts w:cstheme="minorHAnsi"/>
        </w:rPr>
        <w:t>CT</w:t>
      </w:r>
      <w:r w:rsidR="00BB5119" w:rsidRPr="008E25F4">
        <w:rPr>
          <w:rFonts w:cstheme="minorHAnsi"/>
        </w:rPr>
        <w:t xml:space="preserve"> contrai</w:t>
      </w:r>
      <w:r w:rsidR="00601892" w:rsidRPr="008E25F4">
        <w:rPr>
          <w:rFonts w:cstheme="minorHAnsi"/>
        </w:rPr>
        <w:t>nt</w:t>
      </w:r>
      <w:r w:rsidR="00BB5119" w:rsidRPr="008E25F4">
        <w:rPr>
          <w:rFonts w:cstheme="minorHAnsi"/>
        </w:rPr>
        <w:t xml:space="preserve"> les élus à déterminer des objectifs flous</w:t>
      </w:r>
      <w:r w:rsidR="00F91C7D" w:rsidRPr="008E25F4">
        <w:rPr>
          <w:rFonts w:cstheme="minorHAnsi"/>
        </w:rPr>
        <w:t>,</w:t>
      </w:r>
      <w:r w:rsidR="00BB5119" w:rsidRPr="008E25F4">
        <w:rPr>
          <w:rFonts w:cstheme="minorHAnsi"/>
        </w:rPr>
        <w:t xml:space="preserve"> source d’interprétations diverses capables de satisfaire les différentes parties prenantes (Bachir-</w:t>
      </w:r>
      <w:proofErr w:type="spellStart"/>
      <w:r w:rsidR="00607D8D" w:rsidRPr="008E25F4">
        <w:rPr>
          <w:rFonts w:cstheme="minorHAnsi"/>
        </w:rPr>
        <w:t>Bendaoud</w:t>
      </w:r>
      <w:proofErr w:type="spellEnd"/>
      <w:r w:rsidR="00607D8D" w:rsidRPr="008E25F4">
        <w:rPr>
          <w:rFonts w:cstheme="minorHAnsi"/>
        </w:rPr>
        <w:t xml:space="preserve"> 2018</w:t>
      </w:r>
      <w:r w:rsidR="00C109AA" w:rsidRPr="008E25F4">
        <w:rPr>
          <w:rFonts w:cstheme="minorHAnsi"/>
        </w:rPr>
        <w:t xml:space="preserve">, </w:t>
      </w:r>
      <w:r w:rsidR="00210D67" w:rsidRPr="008E25F4">
        <w:rPr>
          <w:rFonts w:cstheme="minorHAnsi"/>
        </w:rPr>
        <w:t>p 17</w:t>
      </w:r>
      <w:r w:rsidR="00607D8D" w:rsidRPr="008E25F4">
        <w:rPr>
          <w:rFonts w:cstheme="minorHAnsi"/>
        </w:rPr>
        <w:t xml:space="preserve">), la comptabilité apparait comme outil de légitimation a posteriori des décisions prises. </w:t>
      </w:r>
      <w:r w:rsidR="00BB5119" w:rsidRPr="008E25F4">
        <w:rPr>
          <w:rFonts w:cstheme="minorHAnsi"/>
        </w:rPr>
        <w:t xml:space="preserve">La comptabilité a alors un rôle politique : l’information comptable est utilisée comme argumentaire </w:t>
      </w:r>
      <w:r w:rsidR="005440D3" w:rsidRPr="008E25F4">
        <w:rPr>
          <w:rFonts w:cstheme="minorHAnsi"/>
        </w:rPr>
        <w:t>pour promouvoir ses intérêts tout en obtenant l’adhésion des autres parties prenantes, elle peut aussi légitimer les décisions prises. La comptabilité n’est pas objective, le décideur politique la rend subjective en sélectionnant les informations qui lui sont favorables.</w:t>
      </w:r>
      <w:r w:rsidR="00D57639" w:rsidRPr="008E25F4">
        <w:rPr>
          <w:rFonts w:cstheme="minorHAnsi"/>
        </w:rPr>
        <w:t xml:space="preserve"> Selon </w:t>
      </w:r>
      <w:bookmarkStart w:id="3" w:name="_Hlk35439749"/>
      <w:proofErr w:type="spellStart"/>
      <w:r w:rsidR="00D57639" w:rsidRPr="008E25F4">
        <w:rPr>
          <w:rFonts w:cstheme="minorHAnsi"/>
        </w:rPr>
        <w:t>K</w:t>
      </w:r>
      <w:r w:rsidR="00A339F0" w:rsidRPr="008E25F4">
        <w:rPr>
          <w:rFonts w:cstheme="minorHAnsi"/>
        </w:rPr>
        <w:t>ott</w:t>
      </w:r>
      <w:proofErr w:type="spellEnd"/>
      <w:r w:rsidR="00D57639" w:rsidRPr="008E25F4">
        <w:rPr>
          <w:rFonts w:cstheme="minorHAnsi"/>
        </w:rPr>
        <w:t xml:space="preserve"> (2016</w:t>
      </w:r>
      <w:r w:rsidR="009362C6" w:rsidRPr="008E25F4">
        <w:rPr>
          <w:rFonts w:cstheme="minorHAnsi"/>
        </w:rPr>
        <w:t>, p</w:t>
      </w:r>
      <w:r w:rsidR="00B92C71" w:rsidRPr="008E25F4">
        <w:rPr>
          <w:rFonts w:cstheme="minorHAnsi"/>
        </w:rPr>
        <w:t>. 1066</w:t>
      </w:r>
      <w:r w:rsidR="00D57639" w:rsidRPr="008E25F4">
        <w:rPr>
          <w:rFonts w:cstheme="minorHAnsi"/>
        </w:rPr>
        <w:t xml:space="preserve">) </w:t>
      </w:r>
      <w:bookmarkEnd w:id="3"/>
      <w:r w:rsidR="00D57639" w:rsidRPr="008E25F4">
        <w:rPr>
          <w:rFonts w:cstheme="minorHAnsi"/>
        </w:rPr>
        <w:t>« la donnée chiffrée qui est la base de la comptabilité n’est qu’une représentation, une transcription de la réalité et certaine</w:t>
      </w:r>
      <w:r w:rsidR="00105E49" w:rsidRPr="008E25F4">
        <w:rPr>
          <w:rFonts w:cstheme="minorHAnsi"/>
        </w:rPr>
        <w:t>ment pas la réalité elle-même…L</w:t>
      </w:r>
      <w:r w:rsidR="00D57639" w:rsidRPr="008E25F4">
        <w:rPr>
          <w:rFonts w:cstheme="minorHAnsi"/>
        </w:rPr>
        <w:t>a comptabilité transcrit ce dont elle a conscience, elle ne transcrit pas, ou le fait différemment, ce qu’elle ne peut pas appréhender »</w:t>
      </w:r>
      <w:r w:rsidR="00572C95" w:rsidRPr="008E25F4">
        <w:rPr>
          <w:rFonts w:cstheme="minorHAnsi"/>
        </w:rPr>
        <w:t>, l’évaluation des immobilisations illustre parfaitement ce propos (exemple : musées, écoles, universités).</w:t>
      </w:r>
    </w:p>
    <w:p w14:paraId="207D0489" w14:textId="6C79339D" w:rsidR="00607D8D" w:rsidRPr="008E25F4" w:rsidRDefault="002F31B5" w:rsidP="00932E08">
      <w:pPr>
        <w:suppressAutoHyphens/>
        <w:jc w:val="both"/>
        <w:rPr>
          <w:rFonts w:cstheme="minorHAnsi"/>
          <w:color w:val="FF0000"/>
        </w:rPr>
      </w:pPr>
      <w:r w:rsidRPr="00F8392F">
        <w:rPr>
          <w:rFonts w:cstheme="minorHAnsi"/>
        </w:rPr>
        <w:t xml:space="preserve">Bo et </w:t>
      </w:r>
      <w:proofErr w:type="spellStart"/>
      <w:r w:rsidRPr="00F8392F">
        <w:rPr>
          <w:rFonts w:cstheme="minorHAnsi"/>
        </w:rPr>
        <w:t>Luu</w:t>
      </w:r>
      <w:proofErr w:type="spellEnd"/>
      <w:r w:rsidRPr="00F8392F">
        <w:rPr>
          <w:rFonts w:cstheme="minorHAnsi"/>
        </w:rPr>
        <w:t xml:space="preserve"> (2011, p 2) notent « un intérêt croissant pour l’audit par des cabinets privés » des entités publiques</w:t>
      </w:r>
      <w:r w:rsidR="00D261F5" w:rsidRPr="00F8392F">
        <w:rPr>
          <w:rFonts w:cstheme="minorHAnsi"/>
        </w:rPr>
        <w:t>.</w:t>
      </w:r>
      <w:r w:rsidR="006853BE" w:rsidRPr="00F8392F">
        <w:rPr>
          <w:rFonts w:cstheme="minorHAnsi"/>
        </w:rPr>
        <w:t xml:space="preserve"> La remise en cause du contrôle administratif des juridictions financières (Préfecture et C</w:t>
      </w:r>
      <w:r w:rsidR="00A732ED" w:rsidRPr="00F8392F">
        <w:rPr>
          <w:rFonts w:cstheme="minorHAnsi"/>
        </w:rPr>
        <w:t>RC</w:t>
      </w:r>
      <w:r w:rsidR="006853BE" w:rsidRPr="00F8392F">
        <w:rPr>
          <w:rFonts w:cstheme="minorHAnsi"/>
        </w:rPr>
        <w:t xml:space="preserve">) décrite par </w:t>
      </w:r>
      <w:proofErr w:type="spellStart"/>
      <w:r w:rsidR="006853BE" w:rsidRPr="00F8392F">
        <w:rPr>
          <w:rFonts w:cstheme="minorHAnsi"/>
        </w:rPr>
        <w:t>Carassus</w:t>
      </w:r>
      <w:proofErr w:type="spellEnd"/>
      <w:r w:rsidR="006853BE" w:rsidRPr="00F8392F">
        <w:rPr>
          <w:rFonts w:cstheme="minorHAnsi"/>
        </w:rPr>
        <w:t xml:space="preserve"> (2003), liée à un manque de moyens (insuffisance du contrôle, observations tardives et le plus souvent négatives</w:t>
      </w:r>
      <w:r w:rsidR="00C23B1E" w:rsidRPr="00F8392F">
        <w:rPr>
          <w:rFonts w:cstheme="minorHAnsi"/>
        </w:rPr>
        <w:t xml:space="preserve">, </w:t>
      </w:r>
      <w:r w:rsidR="00852A8A" w:rsidRPr="00F8392F">
        <w:rPr>
          <w:rFonts w:cstheme="minorHAnsi"/>
        </w:rPr>
        <w:t>confusion possible entre contrôle de régularité et contrôle d’opportunité dans la tâche de contrôle de gestion</w:t>
      </w:r>
      <w:r w:rsidR="006853BE" w:rsidRPr="00F8392F">
        <w:rPr>
          <w:rFonts w:cstheme="minorHAnsi"/>
        </w:rPr>
        <w:t>)</w:t>
      </w:r>
      <w:r w:rsidR="00EA22F0" w:rsidRPr="00F8392F">
        <w:rPr>
          <w:rFonts w:cstheme="minorHAnsi"/>
        </w:rPr>
        <w:t xml:space="preserve"> explique le développement de l’audit externe privé (</w:t>
      </w:r>
      <w:proofErr w:type="spellStart"/>
      <w:r w:rsidR="00EA22F0" w:rsidRPr="00F8392F">
        <w:rPr>
          <w:rFonts w:cstheme="minorHAnsi"/>
        </w:rPr>
        <w:t>Choffel</w:t>
      </w:r>
      <w:proofErr w:type="spellEnd"/>
      <w:r w:rsidR="00EA22F0" w:rsidRPr="00F8392F">
        <w:rPr>
          <w:rFonts w:cstheme="minorHAnsi"/>
        </w:rPr>
        <w:t xml:space="preserve"> et Aldrin 2015</w:t>
      </w:r>
      <w:r w:rsidR="00F61D1E" w:rsidRPr="00F8392F">
        <w:rPr>
          <w:rFonts w:cstheme="minorHAnsi"/>
        </w:rPr>
        <w:t xml:space="preserve">, </w:t>
      </w:r>
      <w:r w:rsidR="00541383" w:rsidRPr="00F8392F">
        <w:rPr>
          <w:rFonts w:cstheme="minorHAnsi"/>
        </w:rPr>
        <w:t>p 47</w:t>
      </w:r>
      <w:r w:rsidR="00EA22F0" w:rsidRPr="00F8392F">
        <w:rPr>
          <w:rFonts w:cstheme="minorHAnsi"/>
        </w:rPr>
        <w:t>)</w:t>
      </w:r>
      <w:r w:rsidR="00D261F5" w:rsidRPr="00F8392F">
        <w:rPr>
          <w:rFonts w:cstheme="minorHAnsi"/>
        </w:rPr>
        <w:t xml:space="preserve"> au même titre que le principe</w:t>
      </w:r>
      <w:r w:rsidR="00863E4E" w:rsidRPr="00F8392F">
        <w:rPr>
          <w:rFonts w:cstheme="minorHAnsi"/>
        </w:rPr>
        <w:t xml:space="preserve"> </w:t>
      </w:r>
      <w:r w:rsidR="00D261F5" w:rsidRPr="00F8392F">
        <w:rPr>
          <w:rFonts w:cstheme="minorHAnsi"/>
          <w:i/>
          <w:iCs/>
        </w:rPr>
        <w:t>d’</w:t>
      </w:r>
      <w:proofErr w:type="spellStart"/>
      <w:r w:rsidR="00D261F5" w:rsidRPr="00F8392F">
        <w:rPr>
          <w:rFonts w:cstheme="minorHAnsi"/>
          <w:i/>
          <w:iCs/>
        </w:rPr>
        <w:t>accountability</w:t>
      </w:r>
      <w:proofErr w:type="spellEnd"/>
      <w:r w:rsidR="00D261F5" w:rsidRPr="00F8392F">
        <w:rPr>
          <w:rFonts w:cstheme="minorHAnsi"/>
        </w:rPr>
        <w:t xml:space="preserve">. </w:t>
      </w:r>
      <w:r w:rsidR="00607D8D" w:rsidRPr="00F8392F">
        <w:rPr>
          <w:rFonts w:cstheme="minorHAnsi"/>
        </w:rPr>
        <w:t xml:space="preserve">La certification des </w:t>
      </w:r>
      <w:r w:rsidR="00607D8D" w:rsidRPr="008E25F4">
        <w:rPr>
          <w:rFonts w:cstheme="minorHAnsi"/>
        </w:rPr>
        <w:t>comptes par une institution indépendante serait un outil au service de cette recherche de légitimité des élus car elle garantit la qualité des informations comptables et financières communiquées.</w:t>
      </w:r>
      <w:r w:rsidR="00D30836" w:rsidRPr="008E25F4">
        <w:rPr>
          <w:rFonts w:cstheme="minorHAnsi"/>
        </w:rPr>
        <w:t xml:space="preserve"> Elle est </w:t>
      </w:r>
      <w:r w:rsidR="00D30836" w:rsidRPr="008E25F4">
        <w:rPr>
          <w:rFonts w:cstheme="minorHAnsi"/>
        </w:rPr>
        <w:lastRenderedPageBreak/>
        <w:t>un outil de recherche de confiance selon Power (2003</w:t>
      </w:r>
      <w:r w:rsidR="00E77697" w:rsidRPr="008E25F4">
        <w:rPr>
          <w:rFonts w:cstheme="minorHAnsi"/>
        </w:rPr>
        <w:t>, p 197</w:t>
      </w:r>
      <w:r w:rsidR="00D30836" w:rsidRPr="008E25F4">
        <w:rPr>
          <w:rFonts w:cstheme="minorHAnsi"/>
        </w:rPr>
        <w:t>) assimilable à une confiance institutionnalisée (Portal 2011</w:t>
      </w:r>
      <w:r w:rsidR="00210D67" w:rsidRPr="008E25F4">
        <w:rPr>
          <w:rFonts w:cstheme="minorHAnsi"/>
        </w:rPr>
        <w:t>, p 39</w:t>
      </w:r>
      <w:r w:rsidR="00D30836" w:rsidRPr="008E25F4">
        <w:rPr>
          <w:rFonts w:cstheme="minorHAnsi"/>
        </w:rPr>
        <w:t>).</w:t>
      </w:r>
      <w:r w:rsidR="00875313" w:rsidRPr="008E25F4">
        <w:rPr>
          <w:rFonts w:cstheme="minorHAnsi"/>
        </w:rPr>
        <w:t xml:space="preserve"> </w:t>
      </w:r>
    </w:p>
    <w:p w14:paraId="7723AD4B" w14:textId="77777777" w:rsidR="00607D8D" w:rsidRPr="008E25F4" w:rsidRDefault="00607D8D" w:rsidP="00932E08">
      <w:pPr>
        <w:pStyle w:val="Style2"/>
        <w:suppressAutoHyphens/>
        <w:spacing w:before="0" w:beforeAutospacing="0" w:after="120" w:afterAutospacing="0"/>
        <w:rPr>
          <w:rFonts w:asciiTheme="minorHAnsi" w:hAnsiTheme="minorHAnsi" w:cstheme="minorHAnsi"/>
          <w:sz w:val="22"/>
          <w:szCs w:val="22"/>
        </w:rPr>
      </w:pPr>
    </w:p>
    <w:p w14:paraId="2EBC18EC" w14:textId="54280BE9" w:rsidR="008A78FF" w:rsidRPr="008E25F4" w:rsidRDefault="00F8392F" w:rsidP="00471DB0">
      <w:pPr>
        <w:pStyle w:val="Style2"/>
        <w:suppressAutoHyphens/>
        <w:spacing w:before="360" w:beforeAutospacing="0" w:after="240" w:afterAutospacing="0"/>
        <w:rPr>
          <w:rFonts w:asciiTheme="minorHAnsi" w:hAnsiTheme="minorHAnsi" w:cstheme="minorHAnsi"/>
          <w:sz w:val="22"/>
          <w:szCs w:val="22"/>
        </w:rPr>
      </w:pPr>
      <w:r>
        <w:rPr>
          <w:rFonts w:asciiTheme="minorHAnsi" w:hAnsiTheme="minorHAnsi" w:cstheme="minorHAnsi"/>
          <w:sz w:val="22"/>
          <w:szCs w:val="22"/>
        </w:rPr>
        <w:t>1.</w:t>
      </w:r>
      <w:r w:rsidR="00106098" w:rsidRPr="008E25F4">
        <w:rPr>
          <w:rFonts w:asciiTheme="minorHAnsi" w:hAnsiTheme="minorHAnsi" w:cstheme="minorHAnsi"/>
          <w:sz w:val="22"/>
          <w:szCs w:val="22"/>
        </w:rPr>
        <w:t>2.</w:t>
      </w:r>
      <w:r w:rsidR="0062463D">
        <w:rPr>
          <w:rFonts w:asciiTheme="minorHAnsi" w:hAnsiTheme="minorHAnsi" w:cstheme="minorHAnsi"/>
          <w:sz w:val="22"/>
          <w:szCs w:val="22"/>
        </w:rPr>
        <w:t xml:space="preserve"> </w:t>
      </w:r>
      <w:r w:rsidR="00471DB0">
        <w:rPr>
          <w:rFonts w:asciiTheme="minorHAnsi" w:hAnsiTheme="minorHAnsi" w:cstheme="minorHAnsi"/>
          <w:sz w:val="22"/>
          <w:szCs w:val="22"/>
        </w:rPr>
        <w:t xml:space="preserve"> </w:t>
      </w:r>
      <w:r w:rsidR="008A78FF" w:rsidRPr="008E25F4">
        <w:rPr>
          <w:rFonts w:asciiTheme="minorHAnsi" w:hAnsiTheme="minorHAnsi" w:cstheme="minorHAnsi"/>
          <w:sz w:val="22"/>
          <w:szCs w:val="22"/>
        </w:rPr>
        <w:t xml:space="preserve">La certification des comptes </w:t>
      </w:r>
      <w:r w:rsidR="00EC66BC" w:rsidRPr="008E25F4">
        <w:rPr>
          <w:rFonts w:asciiTheme="minorHAnsi" w:hAnsiTheme="minorHAnsi" w:cstheme="minorHAnsi"/>
          <w:sz w:val="22"/>
          <w:szCs w:val="22"/>
        </w:rPr>
        <w:t xml:space="preserve">complète et renforce la </w:t>
      </w:r>
      <w:r w:rsidR="006148C3" w:rsidRPr="008E25F4">
        <w:rPr>
          <w:rFonts w:asciiTheme="minorHAnsi" w:hAnsiTheme="minorHAnsi" w:cstheme="minorHAnsi"/>
          <w:sz w:val="22"/>
          <w:szCs w:val="22"/>
        </w:rPr>
        <w:t xml:space="preserve">communication financière </w:t>
      </w:r>
      <w:r w:rsidR="008A78FF" w:rsidRPr="008E25F4">
        <w:rPr>
          <w:rFonts w:asciiTheme="minorHAnsi" w:hAnsiTheme="minorHAnsi" w:cstheme="minorHAnsi"/>
          <w:sz w:val="22"/>
          <w:szCs w:val="22"/>
        </w:rPr>
        <w:t>justifiée dans un contexte d’agence </w:t>
      </w:r>
    </w:p>
    <w:p w14:paraId="0114E730" w14:textId="06E9CE2A" w:rsidR="000F7BCC" w:rsidRPr="008E25F4" w:rsidRDefault="00A904AA" w:rsidP="00932E08">
      <w:pPr>
        <w:suppressAutoHyphens/>
        <w:jc w:val="both"/>
        <w:rPr>
          <w:rFonts w:cstheme="minorHAnsi"/>
        </w:rPr>
      </w:pPr>
      <w:r w:rsidRPr="008E25F4">
        <w:rPr>
          <w:rFonts w:cstheme="minorHAnsi"/>
        </w:rPr>
        <w:t>Un principal confie à un agent la réalisation d’</w:t>
      </w:r>
      <w:r w:rsidR="00A9126F" w:rsidRPr="008E25F4">
        <w:rPr>
          <w:rFonts w:cstheme="minorHAnsi"/>
        </w:rPr>
        <w:t>une action en son nom</w:t>
      </w:r>
      <w:r w:rsidRPr="008E25F4">
        <w:rPr>
          <w:rFonts w:cstheme="minorHAnsi"/>
        </w:rPr>
        <w:t>. Le modèle le plus connu est celui des actionnaires/dirigeants (</w:t>
      </w:r>
      <w:bookmarkStart w:id="4" w:name="_Hlk35439775"/>
      <w:r w:rsidRPr="008E25F4">
        <w:rPr>
          <w:rFonts w:cstheme="minorHAnsi"/>
        </w:rPr>
        <w:t>Jensen et Meckling 1976</w:t>
      </w:r>
      <w:bookmarkEnd w:id="4"/>
      <w:r w:rsidRPr="008E25F4">
        <w:rPr>
          <w:rFonts w:cstheme="minorHAnsi"/>
        </w:rPr>
        <w:t>) dans lequel les actionnaires confient aux dirigeants la gestion de l’entreprise qu’ils possèdent. Avec l’apparition de la grande entreprise dans laquelle la propriété du capital est répartie entre plusieurs actionnaires, le pouvoir devient séparé de la propriété, il appartient à un dirige</w:t>
      </w:r>
      <w:r w:rsidR="00AF026A" w:rsidRPr="008E25F4">
        <w:rPr>
          <w:rFonts w:cstheme="minorHAnsi"/>
        </w:rPr>
        <w:t>ant non</w:t>
      </w:r>
      <w:r w:rsidR="0062463D">
        <w:rPr>
          <w:rFonts w:cstheme="minorHAnsi"/>
        </w:rPr>
        <w:t>-</w:t>
      </w:r>
      <w:r w:rsidR="00AF026A" w:rsidRPr="008E25F4">
        <w:rPr>
          <w:rFonts w:cstheme="minorHAnsi"/>
        </w:rPr>
        <w:t>propriétaire (</w:t>
      </w:r>
      <w:bookmarkStart w:id="5" w:name="_Hlk35439795"/>
      <w:r w:rsidR="00AF026A" w:rsidRPr="008E25F4">
        <w:rPr>
          <w:rFonts w:cstheme="minorHAnsi"/>
        </w:rPr>
        <w:t xml:space="preserve">Berle et </w:t>
      </w:r>
      <w:proofErr w:type="spellStart"/>
      <w:r w:rsidR="00AF026A" w:rsidRPr="008E25F4">
        <w:rPr>
          <w:rFonts w:cstheme="minorHAnsi"/>
        </w:rPr>
        <w:t>M</w:t>
      </w:r>
      <w:r w:rsidRPr="008E25F4">
        <w:rPr>
          <w:rFonts w:cstheme="minorHAnsi"/>
        </w:rPr>
        <w:t>eans</w:t>
      </w:r>
      <w:proofErr w:type="spellEnd"/>
      <w:r w:rsidRPr="008E25F4">
        <w:rPr>
          <w:rFonts w:cstheme="minorHAnsi"/>
        </w:rPr>
        <w:t xml:space="preserve"> 1932</w:t>
      </w:r>
      <w:bookmarkEnd w:id="5"/>
      <w:r w:rsidRPr="008E25F4">
        <w:rPr>
          <w:rFonts w:cstheme="minorHAnsi"/>
        </w:rPr>
        <w:t>). Dans le modèle d’agence, les acteurs sont rationnels, ils recherchent la maximisation de leur utilité personnelle. Des problèmes d’agence surgissent car les intérêts des deux catégories d’acteurs divergent</w:t>
      </w:r>
      <w:r w:rsidR="007B5EA0" w:rsidRPr="008E25F4">
        <w:rPr>
          <w:rFonts w:cstheme="minorHAnsi"/>
        </w:rPr>
        <w:t xml:space="preserve"> : l’agent (le dirigeant) va maximiser son utilité (prestige, pouvoir, avantages pécuniaires) au détriment de celle des actionnaires (maximisation </w:t>
      </w:r>
      <w:r w:rsidR="00105E49" w:rsidRPr="008E25F4">
        <w:rPr>
          <w:rFonts w:cstheme="minorHAnsi"/>
        </w:rPr>
        <w:t xml:space="preserve">de la </w:t>
      </w:r>
      <w:r w:rsidR="007B5EA0" w:rsidRPr="008E25F4">
        <w:rPr>
          <w:rFonts w:cstheme="minorHAnsi"/>
        </w:rPr>
        <w:t>valeur de l’entreprise</w:t>
      </w:r>
      <w:r w:rsidR="00105E49" w:rsidRPr="008E25F4">
        <w:rPr>
          <w:rFonts w:cstheme="minorHAnsi"/>
        </w:rPr>
        <w:t>)</w:t>
      </w:r>
      <w:r w:rsidR="007B5EA0" w:rsidRPr="008E25F4">
        <w:rPr>
          <w:rFonts w:cstheme="minorHAnsi"/>
        </w:rPr>
        <w:t>. Pour réduire leurs coûts d’agence (perte d’utilité)</w:t>
      </w:r>
      <w:r w:rsidR="00D112B1" w:rsidRPr="008E25F4">
        <w:rPr>
          <w:rFonts w:cstheme="minorHAnsi"/>
        </w:rPr>
        <w:t>,</w:t>
      </w:r>
      <w:r w:rsidR="007B5EA0" w:rsidRPr="008E25F4">
        <w:rPr>
          <w:rFonts w:cstheme="minorHAnsi"/>
        </w:rPr>
        <w:t xml:space="preserve"> liés au comportement opportuniste de l’agent, les principaux (actionnaires) vont instaurer des contrôles</w:t>
      </w:r>
      <w:r w:rsidR="001F016D" w:rsidRPr="008E25F4">
        <w:rPr>
          <w:rFonts w:cstheme="minorHAnsi"/>
        </w:rPr>
        <w:t xml:space="preserve"> ou surveillances</w:t>
      </w:r>
      <w:r w:rsidR="007B5EA0" w:rsidRPr="008E25F4">
        <w:rPr>
          <w:rFonts w:cstheme="minorHAnsi"/>
        </w:rPr>
        <w:t xml:space="preserve"> </w:t>
      </w:r>
      <w:r w:rsidR="00D112B1" w:rsidRPr="008E25F4">
        <w:rPr>
          <w:rFonts w:cstheme="minorHAnsi"/>
        </w:rPr>
        <w:t xml:space="preserve">et l’agent va rechercher leur confiance </w:t>
      </w:r>
      <w:r w:rsidR="00CA41C0" w:rsidRPr="008E25F4">
        <w:rPr>
          <w:rFonts w:cstheme="minorHAnsi"/>
        </w:rPr>
        <w:t>à travers</w:t>
      </w:r>
      <w:r w:rsidR="00D112B1" w:rsidRPr="008E25F4">
        <w:rPr>
          <w:rFonts w:cstheme="minorHAnsi"/>
        </w:rPr>
        <w:t xml:space="preserve"> des actes de dédouanement </w:t>
      </w:r>
      <w:r w:rsidR="00F478F6" w:rsidRPr="008E25F4">
        <w:rPr>
          <w:rFonts w:cstheme="minorHAnsi"/>
        </w:rPr>
        <w:t xml:space="preserve">selon </w:t>
      </w:r>
      <w:r w:rsidR="00D112B1" w:rsidRPr="008E25F4">
        <w:rPr>
          <w:rFonts w:cstheme="minorHAnsi"/>
        </w:rPr>
        <w:t>J</w:t>
      </w:r>
      <w:r w:rsidR="00F478F6" w:rsidRPr="008E25F4">
        <w:rPr>
          <w:rFonts w:cstheme="minorHAnsi"/>
        </w:rPr>
        <w:t>ensen</w:t>
      </w:r>
      <w:r w:rsidR="00D112B1" w:rsidRPr="008E25F4">
        <w:rPr>
          <w:rFonts w:cstheme="minorHAnsi"/>
        </w:rPr>
        <w:t xml:space="preserve"> et M</w:t>
      </w:r>
      <w:r w:rsidR="00F478F6" w:rsidRPr="008E25F4">
        <w:rPr>
          <w:rFonts w:cstheme="minorHAnsi"/>
        </w:rPr>
        <w:t>eckling</w:t>
      </w:r>
      <w:r w:rsidR="00D112B1" w:rsidRPr="008E25F4">
        <w:rPr>
          <w:rFonts w:cstheme="minorHAnsi"/>
        </w:rPr>
        <w:t xml:space="preserve">. </w:t>
      </w:r>
    </w:p>
    <w:p w14:paraId="19F5BA90" w14:textId="73AD3768" w:rsidR="006C465F" w:rsidRPr="008E25F4" w:rsidRDefault="001F016D" w:rsidP="00932E08">
      <w:pPr>
        <w:suppressAutoHyphens/>
        <w:jc w:val="both"/>
        <w:rPr>
          <w:rFonts w:cstheme="minorHAnsi"/>
        </w:rPr>
      </w:pPr>
      <w:r w:rsidRPr="008E25F4">
        <w:rPr>
          <w:rFonts w:cstheme="minorHAnsi"/>
        </w:rPr>
        <w:t>Le modèle d’agence peut être adapté à d’autres formes d’organisation que la grande entreprise à capital diffus et notamment aux organisations à but no</w:t>
      </w:r>
      <w:r w:rsidR="00AF026A" w:rsidRPr="008E25F4">
        <w:rPr>
          <w:rFonts w:cstheme="minorHAnsi"/>
        </w:rPr>
        <w:t>n lucratif (</w:t>
      </w:r>
      <w:bookmarkStart w:id="6" w:name="_Hlk35439819"/>
      <w:r w:rsidR="00AF026A" w:rsidRPr="008E25F4">
        <w:rPr>
          <w:rFonts w:cstheme="minorHAnsi"/>
        </w:rPr>
        <w:t xml:space="preserve">Fama et Jensen 1983 </w:t>
      </w:r>
      <w:r w:rsidRPr="008E25F4">
        <w:rPr>
          <w:rFonts w:cstheme="minorHAnsi"/>
        </w:rPr>
        <w:t>(a)</w:t>
      </w:r>
      <w:r w:rsidR="00DD175F" w:rsidRPr="008E25F4">
        <w:rPr>
          <w:rFonts w:cstheme="minorHAnsi"/>
        </w:rPr>
        <w:t xml:space="preserve"> p309</w:t>
      </w:r>
      <w:r w:rsidRPr="008E25F4">
        <w:rPr>
          <w:rFonts w:cstheme="minorHAnsi"/>
        </w:rPr>
        <w:t>,</w:t>
      </w:r>
      <w:r w:rsidR="00105E49" w:rsidRPr="008E25F4">
        <w:rPr>
          <w:rFonts w:cstheme="minorHAnsi"/>
        </w:rPr>
        <w:t xml:space="preserve"> </w:t>
      </w:r>
      <w:r w:rsidRPr="008E25F4">
        <w:rPr>
          <w:rFonts w:cstheme="minorHAnsi"/>
        </w:rPr>
        <w:t>(b)</w:t>
      </w:r>
      <w:bookmarkEnd w:id="6"/>
      <w:r w:rsidR="00DD175F" w:rsidRPr="008E25F4">
        <w:rPr>
          <w:rFonts w:cstheme="minorHAnsi"/>
        </w:rPr>
        <w:t xml:space="preserve"> p 342</w:t>
      </w:r>
      <w:r w:rsidRPr="008E25F4">
        <w:rPr>
          <w:rFonts w:cstheme="minorHAnsi"/>
        </w:rPr>
        <w:t>) et aux organisations publiques (</w:t>
      </w:r>
      <w:proofErr w:type="spellStart"/>
      <w:r w:rsidRPr="008E25F4">
        <w:rPr>
          <w:rFonts w:cstheme="minorHAnsi"/>
        </w:rPr>
        <w:t>Walace</w:t>
      </w:r>
      <w:proofErr w:type="spellEnd"/>
      <w:r w:rsidRPr="008E25F4">
        <w:rPr>
          <w:rFonts w:cstheme="minorHAnsi"/>
        </w:rPr>
        <w:t xml:space="preserve"> 1987). Nous verrons au cours de notre développement que dans la </w:t>
      </w:r>
      <w:r w:rsidR="008B4EA7" w:rsidRPr="008E25F4">
        <w:rPr>
          <w:rFonts w:cstheme="minorHAnsi"/>
        </w:rPr>
        <w:t>C</w:t>
      </w:r>
      <w:r w:rsidR="004D4731" w:rsidRPr="008E25F4">
        <w:rPr>
          <w:rFonts w:cstheme="minorHAnsi"/>
        </w:rPr>
        <w:t>T</w:t>
      </w:r>
      <w:r w:rsidR="0008370A" w:rsidRPr="008E25F4">
        <w:rPr>
          <w:rFonts w:cstheme="minorHAnsi"/>
        </w:rPr>
        <w:t>,</w:t>
      </w:r>
      <w:r w:rsidRPr="008E25F4">
        <w:rPr>
          <w:rFonts w:cstheme="minorHAnsi"/>
        </w:rPr>
        <w:t xml:space="preserve"> plusieurs relations d’agence peuvent être appréhendées, </w:t>
      </w:r>
      <w:r w:rsidR="00651B46" w:rsidRPr="008E25F4">
        <w:rPr>
          <w:rFonts w:cstheme="minorHAnsi"/>
        </w:rPr>
        <w:t>faisant partie des relations</w:t>
      </w:r>
      <w:r w:rsidR="0008370A" w:rsidRPr="008E25F4">
        <w:rPr>
          <w:rFonts w:cstheme="minorHAnsi"/>
        </w:rPr>
        <w:t xml:space="preserve"> plus générales</w:t>
      </w:r>
      <w:r w:rsidR="00651B46" w:rsidRPr="008E25F4">
        <w:rPr>
          <w:rFonts w:cstheme="minorHAnsi"/>
        </w:rPr>
        <w:t xml:space="preserve"> entre parties prenantes (</w:t>
      </w:r>
      <w:bookmarkStart w:id="7" w:name="_Hlk35439859"/>
      <w:r w:rsidR="00651B46" w:rsidRPr="008E25F4">
        <w:rPr>
          <w:rFonts w:cstheme="minorHAnsi"/>
        </w:rPr>
        <w:t xml:space="preserve">Hill et Jones 1992, </w:t>
      </w:r>
      <w:proofErr w:type="spellStart"/>
      <w:r w:rsidR="00651B46" w:rsidRPr="008E25F4">
        <w:rPr>
          <w:rFonts w:cstheme="minorHAnsi"/>
        </w:rPr>
        <w:t>Abzug</w:t>
      </w:r>
      <w:proofErr w:type="spellEnd"/>
      <w:r w:rsidR="00651B46" w:rsidRPr="008E25F4">
        <w:rPr>
          <w:rFonts w:cstheme="minorHAnsi"/>
        </w:rPr>
        <w:t xml:space="preserve"> et Webb </w:t>
      </w:r>
      <w:bookmarkEnd w:id="7"/>
      <w:r w:rsidR="00651B46" w:rsidRPr="008E25F4">
        <w:rPr>
          <w:rFonts w:cstheme="minorHAnsi"/>
        </w:rPr>
        <w:t xml:space="preserve">1999). La première concerne </w:t>
      </w:r>
      <w:r w:rsidR="009F10F0" w:rsidRPr="008E25F4">
        <w:rPr>
          <w:rFonts w:cstheme="minorHAnsi"/>
        </w:rPr>
        <w:t xml:space="preserve">la relation entre l’élu-ordonnateur (le </w:t>
      </w:r>
      <w:r w:rsidR="00105E49" w:rsidRPr="008E25F4">
        <w:rPr>
          <w:rFonts w:cstheme="minorHAnsi"/>
        </w:rPr>
        <w:t>maire, le président du Conseil Départemental ou R</w:t>
      </w:r>
      <w:r w:rsidR="009F10F0" w:rsidRPr="008E25F4">
        <w:rPr>
          <w:rFonts w:cstheme="minorHAnsi"/>
        </w:rPr>
        <w:t>égional ou d’une communauté de communes</w:t>
      </w:r>
      <w:r w:rsidR="009F10F0" w:rsidRPr="008E25F4">
        <w:rPr>
          <w:rStyle w:val="Appelnotedebasdep"/>
          <w:rFonts w:cstheme="minorHAnsi"/>
        </w:rPr>
        <w:footnoteReference w:id="4"/>
      </w:r>
      <w:r w:rsidR="009F10F0" w:rsidRPr="008E25F4">
        <w:rPr>
          <w:rFonts w:cstheme="minorHAnsi"/>
        </w:rPr>
        <w:t xml:space="preserve">) et les citoyens. En effet, </w:t>
      </w:r>
      <w:r w:rsidR="0028645E" w:rsidRPr="008E25F4">
        <w:rPr>
          <w:rFonts w:cstheme="minorHAnsi"/>
        </w:rPr>
        <w:t xml:space="preserve">les citoyens confient la gestion de leur </w:t>
      </w:r>
      <w:r w:rsidR="008B4EA7" w:rsidRPr="008E25F4">
        <w:rPr>
          <w:rFonts w:cstheme="minorHAnsi"/>
        </w:rPr>
        <w:t>Collectivité</w:t>
      </w:r>
      <w:r w:rsidR="0028645E" w:rsidRPr="008E25F4">
        <w:rPr>
          <w:rFonts w:cstheme="minorHAnsi"/>
        </w:rPr>
        <w:t xml:space="preserve"> à un élu, ils sont les mandants ou principaux et l’élu est le mandataire ou </w:t>
      </w:r>
      <w:r w:rsidR="00105E49" w:rsidRPr="008E25F4">
        <w:rPr>
          <w:rFonts w:cstheme="minorHAnsi"/>
        </w:rPr>
        <w:t>l’</w:t>
      </w:r>
      <w:r w:rsidR="0028645E" w:rsidRPr="008E25F4">
        <w:rPr>
          <w:rFonts w:cstheme="minorHAnsi"/>
        </w:rPr>
        <w:t xml:space="preserve">agent. </w:t>
      </w:r>
      <w:r w:rsidR="005A5219" w:rsidRPr="008E25F4">
        <w:rPr>
          <w:rFonts w:cstheme="minorHAnsi"/>
        </w:rPr>
        <w:t xml:space="preserve">L’élu a été choisi démocratiquement pour un programme annoncé à l’avance au moment de l’élection mais comme le soulignent </w:t>
      </w:r>
      <w:bookmarkStart w:id="8" w:name="_Hlk35439897"/>
      <w:r w:rsidR="005A5219" w:rsidRPr="008E25F4">
        <w:rPr>
          <w:rFonts w:cstheme="minorHAnsi"/>
        </w:rPr>
        <w:t>Michel-</w:t>
      </w:r>
      <w:proofErr w:type="spellStart"/>
      <w:r w:rsidR="005A5219" w:rsidRPr="008E25F4">
        <w:rPr>
          <w:rFonts w:cstheme="minorHAnsi"/>
        </w:rPr>
        <w:t>Clupot</w:t>
      </w:r>
      <w:proofErr w:type="spellEnd"/>
      <w:r w:rsidR="005A5219" w:rsidRPr="008E25F4">
        <w:rPr>
          <w:rFonts w:cstheme="minorHAnsi"/>
        </w:rPr>
        <w:t xml:space="preserve"> et </w:t>
      </w:r>
      <w:proofErr w:type="spellStart"/>
      <w:r w:rsidR="005A5219" w:rsidRPr="008E25F4">
        <w:rPr>
          <w:rFonts w:cstheme="minorHAnsi"/>
        </w:rPr>
        <w:t>Rouot</w:t>
      </w:r>
      <w:proofErr w:type="spellEnd"/>
      <w:r w:rsidR="005A5219" w:rsidRPr="008E25F4">
        <w:rPr>
          <w:rFonts w:cstheme="minorHAnsi"/>
        </w:rPr>
        <w:t xml:space="preserve"> (2014</w:t>
      </w:r>
      <w:r w:rsidR="00076FF4" w:rsidRPr="008E25F4">
        <w:rPr>
          <w:rFonts w:cstheme="minorHAnsi"/>
        </w:rPr>
        <w:t>, p</w:t>
      </w:r>
      <w:r w:rsidR="00B50C21" w:rsidRPr="008E25F4">
        <w:rPr>
          <w:rFonts w:cstheme="minorHAnsi"/>
        </w:rPr>
        <w:t xml:space="preserve"> 58</w:t>
      </w:r>
      <w:r w:rsidR="005A5219" w:rsidRPr="008E25F4">
        <w:rPr>
          <w:rFonts w:cstheme="minorHAnsi"/>
        </w:rPr>
        <w:t xml:space="preserve">) </w:t>
      </w:r>
      <w:bookmarkEnd w:id="8"/>
      <w:r w:rsidR="005A5219" w:rsidRPr="008E25F4">
        <w:rPr>
          <w:rFonts w:cstheme="minorHAnsi"/>
        </w:rPr>
        <w:t xml:space="preserve">« ex post, comment le principal s’assure-t-il que l’agent respecte les engagements pris, serve bien l’intérêt général plutôt que son intérêt personnel, s’implique dans la gestion publique ? ». </w:t>
      </w:r>
      <w:r w:rsidR="00212D68" w:rsidRPr="008E25F4">
        <w:rPr>
          <w:rFonts w:cstheme="minorHAnsi"/>
        </w:rPr>
        <w:t>Cette difficulté d’évaluation de la performance de l’élu se retrouve dans les organisations à but non lucratif selon</w:t>
      </w:r>
      <w:bookmarkStart w:id="9" w:name="_Hlk35439911"/>
      <w:r w:rsidR="00DF1F25" w:rsidRPr="008E25F4">
        <w:rPr>
          <w:rFonts w:cstheme="minorHAnsi"/>
        </w:rPr>
        <w:t xml:space="preserve"> </w:t>
      </w:r>
      <w:bookmarkStart w:id="10" w:name="_Hlk35439934"/>
      <w:bookmarkEnd w:id="9"/>
      <w:r w:rsidR="00DF1F25" w:rsidRPr="008E25F4">
        <w:rPr>
          <w:rFonts w:cstheme="minorHAnsi"/>
        </w:rPr>
        <w:t xml:space="preserve">Van </w:t>
      </w:r>
      <w:proofErr w:type="spellStart"/>
      <w:r w:rsidR="00DF1F25" w:rsidRPr="008E25F4">
        <w:rPr>
          <w:rFonts w:cstheme="minorHAnsi"/>
        </w:rPr>
        <w:t>Slyke</w:t>
      </w:r>
      <w:proofErr w:type="spellEnd"/>
      <w:r w:rsidR="00DF1F25" w:rsidRPr="008E25F4">
        <w:rPr>
          <w:rFonts w:cstheme="minorHAnsi"/>
        </w:rPr>
        <w:t xml:space="preserve"> (2007</w:t>
      </w:r>
      <w:r w:rsidR="004622D0" w:rsidRPr="008E25F4">
        <w:rPr>
          <w:rFonts w:cstheme="minorHAnsi"/>
        </w:rPr>
        <w:t>, p 164</w:t>
      </w:r>
      <w:r w:rsidR="00DF1F25" w:rsidRPr="008E25F4">
        <w:rPr>
          <w:rFonts w:cstheme="minorHAnsi"/>
        </w:rPr>
        <w:t xml:space="preserve">) </w:t>
      </w:r>
      <w:bookmarkEnd w:id="10"/>
      <w:r w:rsidR="00DF1F25" w:rsidRPr="008E25F4">
        <w:rPr>
          <w:rFonts w:cstheme="minorHAnsi"/>
        </w:rPr>
        <w:t xml:space="preserve">et serait à l’origine de conflits d’agence conséquents </w:t>
      </w:r>
      <w:r w:rsidR="00076FF4" w:rsidRPr="008E25F4">
        <w:rPr>
          <w:rFonts w:cstheme="minorHAnsi"/>
        </w:rPr>
        <w:t>et</w:t>
      </w:r>
      <w:r w:rsidR="00212D68" w:rsidRPr="008E25F4">
        <w:rPr>
          <w:rFonts w:cstheme="minorHAnsi"/>
        </w:rPr>
        <w:t xml:space="preserve"> </w:t>
      </w:r>
      <w:r w:rsidR="00DF1F25" w:rsidRPr="008E25F4">
        <w:rPr>
          <w:rFonts w:cstheme="minorHAnsi"/>
        </w:rPr>
        <w:t xml:space="preserve">elle </w:t>
      </w:r>
      <w:r w:rsidR="00212D68" w:rsidRPr="008E25F4">
        <w:rPr>
          <w:rFonts w:cstheme="minorHAnsi"/>
        </w:rPr>
        <w:t xml:space="preserve">nous parait </w:t>
      </w:r>
      <w:r w:rsidR="006C465F" w:rsidRPr="008E25F4">
        <w:rPr>
          <w:rFonts w:cstheme="minorHAnsi"/>
        </w:rPr>
        <w:t xml:space="preserve">encore </w:t>
      </w:r>
      <w:r w:rsidR="00212D68" w:rsidRPr="008E25F4">
        <w:rPr>
          <w:rFonts w:cstheme="minorHAnsi"/>
        </w:rPr>
        <w:t>plus tangi</w:t>
      </w:r>
      <w:r w:rsidR="00DF1F25" w:rsidRPr="008E25F4">
        <w:rPr>
          <w:rFonts w:cstheme="minorHAnsi"/>
        </w:rPr>
        <w:t>ble en cas de mandat politique</w:t>
      </w:r>
      <w:r w:rsidR="006C465F" w:rsidRPr="008E25F4">
        <w:rPr>
          <w:rFonts w:cstheme="minorHAnsi"/>
        </w:rPr>
        <w:t xml:space="preserve">. </w:t>
      </w:r>
    </w:p>
    <w:p w14:paraId="0302DA8B" w14:textId="54FA3A6B" w:rsidR="00E93EF5" w:rsidRPr="008E25F4" w:rsidRDefault="00DF1F25" w:rsidP="00932E08">
      <w:pPr>
        <w:suppressAutoHyphens/>
        <w:jc w:val="both"/>
        <w:rPr>
          <w:rFonts w:eastAsia="Times New Roman" w:cstheme="minorHAnsi"/>
          <w:lang w:eastAsia="fr-FR"/>
        </w:rPr>
      </w:pPr>
      <w:r w:rsidRPr="008E25F4">
        <w:rPr>
          <w:rFonts w:cstheme="minorHAnsi"/>
        </w:rPr>
        <w:t xml:space="preserve"> </w:t>
      </w:r>
      <w:r w:rsidR="00AF026A" w:rsidRPr="008E25F4">
        <w:rPr>
          <w:rFonts w:cstheme="minorHAnsi"/>
        </w:rPr>
        <w:t>Les mécanismes d’incitation des agents (rémunérations fondées sur les résultats, attributions d’actions…)</w:t>
      </w:r>
      <w:r w:rsidR="00AF026A" w:rsidRPr="008E25F4">
        <w:rPr>
          <w:rFonts w:cstheme="minorHAnsi"/>
          <w:color w:val="FF0000"/>
        </w:rPr>
        <w:t xml:space="preserve"> </w:t>
      </w:r>
      <w:r w:rsidR="00AF026A" w:rsidRPr="008E25F4">
        <w:rPr>
          <w:rFonts w:cstheme="minorHAnsi"/>
        </w:rPr>
        <w:t>préconisés dans la théorie de l’</w:t>
      </w:r>
      <w:r w:rsidR="00212D68" w:rsidRPr="008E25F4">
        <w:rPr>
          <w:rFonts w:cstheme="minorHAnsi"/>
        </w:rPr>
        <w:t xml:space="preserve">agence </w:t>
      </w:r>
      <w:r w:rsidR="00F50A33" w:rsidRPr="008E25F4">
        <w:rPr>
          <w:rFonts w:cstheme="minorHAnsi"/>
        </w:rPr>
        <w:t>(J</w:t>
      </w:r>
      <w:r w:rsidR="00C00C8F" w:rsidRPr="008E25F4">
        <w:rPr>
          <w:rFonts w:cstheme="minorHAnsi"/>
        </w:rPr>
        <w:t>ensen</w:t>
      </w:r>
      <w:r w:rsidR="00F50A33" w:rsidRPr="008E25F4">
        <w:rPr>
          <w:rFonts w:cstheme="minorHAnsi"/>
        </w:rPr>
        <w:t xml:space="preserve"> et M</w:t>
      </w:r>
      <w:r w:rsidR="00C00C8F" w:rsidRPr="008E25F4">
        <w:rPr>
          <w:rFonts w:cstheme="minorHAnsi"/>
        </w:rPr>
        <w:t>eckling</w:t>
      </w:r>
      <w:r w:rsidR="00F50A33" w:rsidRPr="008E25F4">
        <w:rPr>
          <w:rFonts w:cstheme="minorHAnsi"/>
        </w:rPr>
        <w:t xml:space="preserve"> 1976,</w:t>
      </w:r>
      <w:bookmarkStart w:id="11" w:name="_Hlk35439969"/>
      <w:r w:rsidR="00D01D41" w:rsidRPr="008E25F4">
        <w:rPr>
          <w:rFonts w:cstheme="minorHAnsi"/>
        </w:rPr>
        <w:t xml:space="preserve"> </w:t>
      </w:r>
      <w:r w:rsidR="00C00C8F" w:rsidRPr="008E25F4">
        <w:rPr>
          <w:rFonts w:cstheme="minorHAnsi"/>
        </w:rPr>
        <w:t xml:space="preserve"> </w:t>
      </w:r>
      <w:proofErr w:type="spellStart"/>
      <w:r w:rsidR="003C4FE3" w:rsidRPr="008E25F4">
        <w:rPr>
          <w:rFonts w:cstheme="minorHAnsi"/>
        </w:rPr>
        <w:t>Haugen</w:t>
      </w:r>
      <w:proofErr w:type="spellEnd"/>
      <w:r w:rsidR="003C4FE3" w:rsidRPr="008E25F4">
        <w:rPr>
          <w:rFonts w:cstheme="minorHAnsi"/>
        </w:rPr>
        <w:t xml:space="preserve"> et </w:t>
      </w:r>
      <w:proofErr w:type="spellStart"/>
      <w:r w:rsidR="003C4FE3" w:rsidRPr="008E25F4">
        <w:rPr>
          <w:rFonts w:cstheme="minorHAnsi"/>
        </w:rPr>
        <w:t>Senbet</w:t>
      </w:r>
      <w:proofErr w:type="spellEnd"/>
      <w:r w:rsidR="003C4FE3" w:rsidRPr="008E25F4">
        <w:rPr>
          <w:rFonts w:cstheme="minorHAnsi"/>
        </w:rPr>
        <w:t xml:space="preserve"> </w:t>
      </w:r>
      <w:r w:rsidR="00F50A33" w:rsidRPr="008E25F4">
        <w:rPr>
          <w:rFonts w:cstheme="minorHAnsi"/>
        </w:rPr>
        <w:t>1981</w:t>
      </w:r>
      <w:bookmarkStart w:id="12" w:name="_Hlk35439985"/>
      <w:bookmarkEnd w:id="11"/>
      <w:r w:rsidR="00446A8F" w:rsidRPr="008E25F4">
        <w:rPr>
          <w:rFonts w:cstheme="minorHAnsi"/>
        </w:rPr>
        <w:t xml:space="preserve">, </w:t>
      </w:r>
      <w:r w:rsidR="00F50A33" w:rsidRPr="008E25F4">
        <w:rPr>
          <w:rFonts w:cstheme="minorHAnsi"/>
        </w:rPr>
        <w:t>Jensen et Murphy 1990, Walsh et Seward 1990</w:t>
      </w:r>
      <w:bookmarkEnd w:id="12"/>
      <w:r w:rsidR="00F50A33" w:rsidRPr="008E25F4">
        <w:rPr>
          <w:rFonts w:cstheme="minorHAnsi"/>
        </w:rPr>
        <w:t xml:space="preserve">) </w:t>
      </w:r>
      <w:r w:rsidR="00212D68" w:rsidRPr="008E25F4">
        <w:rPr>
          <w:rFonts w:cstheme="minorHAnsi"/>
        </w:rPr>
        <w:t>ne sont pas applicables</w:t>
      </w:r>
      <w:r w:rsidR="00AF026A" w:rsidRPr="008E25F4">
        <w:rPr>
          <w:rFonts w:cstheme="minorHAnsi"/>
        </w:rPr>
        <w:t xml:space="preserve"> dans les </w:t>
      </w:r>
      <w:r w:rsidR="0008370A" w:rsidRPr="008E25F4">
        <w:rPr>
          <w:rFonts w:cstheme="minorHAnsi"/>
        </w:rPr>
        <w:t xml:space="preserve">organisations à but non lucratif telles que les </w:t>
      </w:r>
      <w:r w:rsidR="008B4EA7" w:rsidRPr="008E25F4">
        <w:rPr>
          <w:rFonts w:cstheme="minorHAnsi"/>
        </w:rPr>
        <w:t>C</w:t>
      </w:r>
      <w:r w:rsidR="004D4731" w:rsidRPr="008E25F4">
        <w:rPr>
          <w:rFonts w:cstheme="minorHAnsi"/>
        </w:rPr>
        <w:t>T</w:t>
      </w:r>
      <w:r w:rsidR="0008370A" w:rsidRPr="008E25F4">
        <w:rPr>
          <w:rFonts w:cstheme="minorHAnsi"/>
        </w:rPr>
        <w:t xml:space="preserve"> (</w:t>
      </w:r>
      <w:bookmarkStart w:id="13" w:name="_Hlk35440011"/>
      <w:r w:rsidR="00DD470E" w:rsidRPr="008E25F4">
        <w:rPr>
          <w:rFonts w:cstheme="minorHAnsi"/>
        </w:rPr>
        <w:t xml:space="preserve">Brown 2005, p 318, </w:t>
      </w:r>
      <w:proofErr w:type="spellStart"/>
      <w:r w:rsidR="0084268F" w:rsidRPr="008E25F4">
        <w:rPr>
          <w:rFonts w:cstheme="minorHAnsi"/>
        </w:rPr>
        <w:t>Jobome</w:t>
      </w:r>
      <w:proofErr w:type="spellEnd"/>
      <w:r w:rsidR="0084268F" w:rsidRPr="008E25F4">
        <w:rPr>
          <w:rFonts w:cstheme="minorHAnsi"/>
        </w:rPr>
        <w:t xml:space="preserve"> 2006, p 333-334, </w:t>
      </w:r>
      <w:r w:rsidR="0008370A" w:rsidRPr="008E25F4">
        <w:rPr>
          <w:rFonts w:cstheme="minorHAnsi"/>
        </w:rPr>
        <w:t xml:space="preserve">Van </w:t>
      </w:r>
      <w:proofErr w:type="spellStart"/>
      <w:r w:rsidR="0008370A" w:rsidRPr="008E25F4">
        <w:rPr>
          <w:rFonts w:cstheme="minorHAnsi"/>
        </w:rPr>
        <w:t>Puyvelde</w:t>
      </w:r>
      <w:proofErr w:type="spellEnd"/>
      <w:r w:rsidR="0008370A" w:rsidRPr="008E25F4">
        <w:rPr>
          <w:rFonts w:cstheme="minorHAnsi"/>
        </w:rPr>
        <w:t xml:space="preserve"> </w:t>
      </w:r>
      <w:r w:rsidR="0008370A" w:rsidRPr="008E25F4">
        <w:rPr>
          <w:rFonts w:cstheme="minorHAnsi"/>
          <w:i/>
        </w:rPr>
        <w:t>et al</w:t>
      </w:r>
      <w:r w:rsidR="0008370A" w:rsidRPr="008E25F4">
        <w:rPr>
          <w:rFonts w:cstheme="minorHAnsi"/>
        </w:rPr>
        <w:t xml:space="preserve"> 2012</w:t>
      </w:r>
      <w:bookmarkEnd w:id="13"/>
      <w:r w:rsidR="00C00C8F" w:rsidRPr="008E25F4">
        <w:rPr>
          <w:rFonts w:cstheme="minorHAnsi"/>
        </w:rPr>
        <w:t>, p</w:t>
      </w:r>
      <w:r w:rsidR="00DD470E" w:rsidRPr="008E25F4">
        <w:rPr>
          <w:rFonts w:cstheme="minorHAnsi"/>
        </w:rPr>
        <w:t xml:space="preserve"> 436</w:t>
      </w:r>
      <w:r w:rsidR="00C00C8F" w:rsidRPr="008E25F4">
        <w:rPr>
          <w:rFonts w:cstheme="minorHAnsi"/>
        </w:rPr>
        <w:t xml:space="preserve"> </w:t>
      </w:r>
      <w:r w:rsidR="0008370A" w:rsidRPr="008E25F4">
        <w:rPr>
          <w:rFonts w:cstheme="minorHAnsi"/>
        </w:rPr>
        <w:t xml:space="preserve">), l’élu-ordonnateur perçoit une indemnité fixe qui dépend de la taille de la </w:t>
      </w:r>
      <w:r w:rsidR="008B4EA7" w:rsidRPr="008E25F4">
        <w:rPr>
          <w:rFonts w:cstheme="minorHAnsi"/>
        </w:rPr>
        <w:t>Collectivité</w:t>
      </w:r>
      <w:r w:rsidR="0008370A" w:rsidRPr="008E25F4">
        <w:rPr>
          <w:rFonts w:cstheme="minorHAnsi"/>
        </w:rPr>
        <w:t xml:space="preserve"> qu’il administre mais indépendante de ses performances et notamment du respect des engagements pris au moment de son élection. </w:t>
      </w:r>
      <w:r w:rsidR="00CF0E80" w:rsidRPr="008E25F4">
        <w:rPr>
          <w:rFonts w:cstheme="minorHAnsi"/>
        </w:rPr>
        <w:t>En revanche, l’élu cherchera à se « justifier » ou encore à se « dédouaner » auprès de ses administrés</w:t>
      </w:r>
      <w:r w:rsidR="00006BAC" w:rsidRPr="008E25F4">
        <w:rPr>
          <w:rFonts w:cstheme="minorHAnsi"/>
        </w:rPr>
        <w:t> : comme le précise Hertzog (2016), le code civil prévoit que tout mandataire doit rendre compte de sa gestion. Un des moyens de le faire est la</w:t>
      </w:r>
      <w:r w:rsidR="00CF0E80" w:rsidRPr="008E25F4">
        <w:rPr>
          <w:rFonts w:cstheme="minorHAnsi"/>
        </w:rPr>
        <w:t xml:space="preserve"> communication publique des politiques et actions menées mais aussi de la situation financière </w:t>
      </w:r>
      <w:r w:rsidR="00BE7E85" w:rsidRPr="008E25F4">
        <w:rPr>
          <w:rFonts w:cstheme="minorHAnsi"/>
        </w:rPr>
        <w:t>(Michel-</w:t>
      </w:r>
      <w:proofErr w:type="spellStart"/>
      <w:r w:rsidR="00702F49" w:rsidRPr="008E25F4">
        <w:rPr>
          <w:rFonts w:cstheme="minorHAnsi"/>
        </w:rPr>
        <w:t>Clupot</w:t>
      </w:r>
      <w:proofErr w:type="spellEnd"/>
      <w:r w:rsidR="00702F49" w:rsidRPr="008E25F4">
        <w:rPr>
          <w:rFonts w:cstheme="minorHAnsi"/>
        </w:rPr>
        <w:t xml:space="preserve"> et </w:t>
      </w:r>
      <w:proofErr w:type="spellStart"/>
      <w:r w:rsidR="00702F49" w:rsidRPr="008E25F4">
        <w:rPr>
          <w:rFonts w:cstheme="minorHAnsi"/>
        </w:rPr>
        <w:t>Rouot</w:t>
      </w:r>
      <w:proofErr w:type="spellEnd"/>
      <w:r w:rsidR="00702F49" w:rsidRPr="008E25F4">
        <w:rPr>
          <w:rFonts w:cstheme="minorHAnsi"/>
        </w:rPr>
        <w:t xml:space="preserve"> 2014), cette information existe</w:t>
      </w:r>
      <w:r w:rsidR="00BE7E85" w:rsidRPr="008E25F4">
        <w:rPr>
          <w:rFonts w:cstheme="minorHAnsi"/>
        </w:rPr>
        <w:t xml:space="preserve"> dans les sociétés cotées </w:t>
      </w:r>
      <w:r w:rsidR="00CB72E3" w:rsidRPr="008E25F4">
        <w:rPr>
          <w:rFonts w:cstheme="minorHAnsi"/>
        </w:rPr>
        <w:t>quant à la</w:t>
      </w:r>
      <w:r w:rsidR="00BE7E85" w:rsidRPr="008E25F4">
        <w:rPr>
          <w:rFonts w:cstheme="minorHAnsi"/>
        </w:rPr>
        <w:t xml:space="preserve"> publication de résultats et de</w:t>
      </w:r>
      <w:r w:rsidR="00CB72E3" w:rsidRPr="008E25F4">
        <w:rPr>
          <w:rFonts w:cstheme="minorHAnsi"/>
        </w:rPr>
        <w:t>s perspectives</w:t>
      </w:r>
      <w:r w:rsidR="00BE7E85" w:rsidRPr="008E25F4">
        <w:rPr>
          <w:rFonts w:cstheme="minorHAnsi"/>
        </w:rPr>
        <w:t xml:space="preserve"> futures dans le but d’une valorisation de l’entreprise par le marché </w:t>
      </w:r>
      <w:r w:rsidR="0047556B" w:rsidRPr="008E25F4">
        <w:rPr>
          <w:rFonts w:cstheme="minorHAnsi"/>
        </w:rPr>
        <w:t>(</w:t>
      </w:r>
      <w:bookmarkStart w:id="14" w:name="_Hlk35440037"/>
      <w:r w:rsidR="0047556B" w:rsidRPr="008E25F4">
        <w:rPr>
          <w:rFonts w:cstheme="minorHAnsi"/>
        </w:rPr>
        <w:t>Leland et Pyle 1977</w:t>
      </w:r>
      <w:bookmarkEnd w:id="14"/>
      <w:r w:rsidR="0047556B" w:rsidRPr="008E25F4">
        <w:rPr>
          <w:rFonts w:cstheme="minorHAnsi"/>
        </w:rPr>
        <w:t xml:space="preserve">). </w:t>
      </w:r>
      <w:r w:rsidR="0003315C" w:rsidRPr="008E25F4">
        <w:rPr>
          <w:rFonts w:cstheme="minorHAnsi"/>
        </w:rPr>
        <w:t xml:space="preserve">La loi </w:t>
      </w:r>
      <w:proofErr w:type="spellStart"/>
      <w:r w:rsidR="0003315C" w:rsidRPr="008E25F4">
        <w:rPr>
          <w:rFonts w:cstheme="minorHAnsi"/>
        </w:rPr>
        <w:t>NOTRe</w:t>
      </w:r>
      <w:proofErr w:type="spellEnd"/>
      <w:r w:rsidR="0003315C" w:rsidRPr="008E25F4">
        <w:rPr>
          <w:rFonts w:cstheme="minorHAnsi"/>
        </w:rPr>
        <w:t xml:space="preserve"> (2015) a modifié le CGCT</w:t>
      </w:r>
      <w:r w:rsidR="00B510CB">
        <w:rPr>
          <w:rFonts w:cstheme="minorHAnsi"/>
        </w:rPr>
        <w:t> :</w:t>
      </w:r>
      <w:r w:rsidR="008A59C2">
        <w:rPr>
          <w:rFonts w:cstheme="minorHAnsi"/>
        </w:rPr>
        <w:t xml:space="preserve"> </w:t>
      </w:r>
      <w:r w:rsidR="0003315C" w:rsidRPr="008E25F4">
        <w:rPr>
          <w:rFonts w:eastAsia="Times New Roman" w:cstheme="minorHAnsi"/>
          <w:lang w:eastAsia="fr-FR"/>
        </w:rPr>
        <w:t>«</w:t>
      </w:r>
      <w:r w:rsidR="008A59C2">
        <w:rPr>
          <w:rFonts w:eastAsia="Times New Roman" w:cstheme="minorHAnsi"/>
          <w:lang w:eastAsia="fr-FR"/>
        </w:rPr>
        <w:t xml:space="preserve"> </w:t>
      </w:r>
      <w:r w:rsidR="0003315C" w:rsidRPr="008E25F4">
        <w:rPr>
          <w:rFonts w:eastAsia="Times New Roman" w:cstheme="minorHAnsi"/>
          <w:lang w:eastAsia="fr-FR"/>
        </w:rPr>
        <w:t xml:space="preserve">Une présentation brève et synthétique retraçant les informations financières essentielles est jointe au budget primitif et au compte administratif </w:t>
      </w:r>
      <w:r w:rsidR="00C85707" w:rsidRPr="008E25F4">
        <w:rPr>
          <w:rFonts w:eastAsia="Times New Roman" w:cstheme="minorHAnsi"/>
          <w:lang w:eastAsia="fr-FR"/>
        </w:rPr>
        <w:t xml:space="preserve">(qui retrace l’exécution </w:t>
      </w:r>
      <w:r w:rsidR="00C85707" w:rsidRPr="008E25F4">
        <w:rPr>
          <w:rFonts w:eastAsia="Times New Roman" w:cstheme="minorHAnsi"/>
          <w:lang w:eastAsia="fr-FR"/>
        </w:rPr>
        <w:lastRenderedPageBreak/>
        <w:t xml:space="preserve">budgétaire) </w:t>
      </w:r>
      <w:r w:rsidR="0003315C" w:rsidRPr="008E25F4">
        <w:rPr>
          <w:rFonts w:eastAsia="Times New Roman" w:cstheme="minorHAnsi"/>
          <w:lang w:eastAsia="fr-FR"/>
        </w:rPr>
        <w:t xml:space="preserve">afin de permettre aux citoyens d'en saisir les </w:t>
      </w:r>
      <w:r w:rsidR="003E0411" w:rsidRPr="008E25F4">
        <w:rPr>
          <w:rFonts w:eastAsia="Times New Roman" w:cstheme="minorHAnsi"/>
          <w:lang w:eastAsia="fr-FR"/>
        </w:rPr>
        <w:t xml:space="preserve">enjeux. </w:t>
      </w:r>
      <w:r w:rsidR="0003315C" w:rsidRPr="008E25F4">
        <w:rPr>
          <w:rFonts w:eastAsia="Times New Roman" w:cstheme="minorHAnsi"/>
          <w:lang w:eastAsia="fr-FR"/>
        </w:rPr>
        <w:t xml:space="preserve"> La présentation prévue au précédent alinéa ainsi que le rapport adressé au conseil municipal à l'occasion du débat sur les orientations budgétaires de l'exercice, la note explicative de synthèse annexée au budget primitif et celle annexée au compte administratif, sont mis en ligne sur le site internet de la commune, lorsqu'il existe, après l'adoption par le conseil municipal des délibérations auxquelles ils se rapportent</w:t>
      </w:r>
      <w:r w:rsidR="004F08FC" w:rsidRPr="008E25F4">
        <w:rPr>
          <w:rFonts w:eastAsia="Times New Roman" w:cstheme="minorHAnsi"/>
          <w:lang w:eastAsia="fr-FR"/>
        </w:rPr>
        <w:t xml:space="preserve"> </w:t>
      </w:r>
      <w:r w:rsidR="003E0411" w:rsidRPr="008E25F4">
        <w:rPr>
          <w:rFonts w:eastAsia="Times New Roman" w:cstheme="minorHAnsi"/>
          <w:lang w:eastAsia="fr-FR"/>
        </w:rPr>
        <w:t xml:space="preserve">». Les mêmes dispositions s’appliquent aux départements et régions. </w:t>
      </w:r>
      <w:r w:rsidR="00184C16" w:rsidRPr="008E25F4">
        <w:rPr>
          <w:rFonts w:eastAsia="Times New Roman" w:cstheme="minorHAnsi"/>
          <w:lang w:eastAsia="fr-FR"/>
        </w:rPr>
        <w:t xml:space="preserve">Une étude empirique réalisée auprès des régions </w:t>
      </w:r>
      <w:r w:rsidR="00204854" w:rsidRPr="008E25F4">
        <w:rPr>
          <w:rFonts w:eastAsia="Times New Roman" w:cstheme="minorHAnsi"/>
          <w:lang w:eastAsia="fr-FR"/>
        </w:rPr>
        <w:t xml:space="preserve">françaises par </w:t>
      </w:r>
      <w:r w:rsidR="00204854" w:rsidRPr="008E25F4">
        <w:rPr>
          <w:rFonts w:cstheme="minorHAnsi"/>
        </w:rPr>
        <w:t>Michel-</w:t>
      </w:r>
      <w:proofErr w:type="spellStart"/>
      <w:r w:rsidR="00204854" w:rsidRPr="008E25F4">
        <w:rPr>
          <w:rFonts w:cstheme="minorHAnsi"/>
        </w:rPr>
        <w:t>Clupot</w:t>
      </w:r>
      <w:proofErr w:type="spellEnd"/>
      <w:r w:rsidR="00204854" w:rsidRPr="008E25F4">
        <w:rPr>
          <w:rFonts w:cstheme="minorHAnsi"/>
        </w:rPr>
        <w:t xml:space="preserve"> et </w:t>
      </w:r>
      <w:proofErr w:type="spellStart"/>
      <w:r w:rsidR="00204854" w:rsidRPr="008E25F4">
        <w:rPr>
          <w:rFonts w:cstheme="minorHAnsi"/>
        </w:rPr>
        <w:t>Rouot</w:t>
      </w:r>
      <w:proofErr w:type="spellEnd"/>
      <w:r w:rsidR="00204854" w:rsidRPr="008E25F4">
        <w:rPr>
          <w:rFonts w:cstheme="minorHAnsi"/>
        </w:rPr>
        <w:t xml:space="preserve"> (2014)</w:t>
      </w:r>
      <w:r w:rsidR="00204854" w:rsidRPr="008E25F4">
        <w:rPr>
          <w:rFonts w:eastAsia="Times New Roman" w:cstheme="minorHAnsi"/>
          <w:lang w:eastAsia="fr-FR"/>
        </w:rPr>
        <w:t xml:space="preserve"> montre que l’élu-agent se dédouane vis-à-vis du citoyen-principal par la communication financière</w:t>
      </w:r>
      <w:r w:rsidR="0088376F" w:rsidRPr="008E25F4">
        <w:rPr>
          <w:rFonts w:eastAsia="Times New Roman" w:cstheme="minorHAnsi"/>
          <w:lang w:eastAsia="fr-FR"/>
        </w:rPr>
        <w:t>.</w:t>
      </w:r>
      <w:r w:rsidR="00204854" w:rsidRPr="008E25F4">
        <w:rPr>
          <w:rFonts w:eastAsia="Times New Roman" w:cstheme="minorHAnsi"/>
          <w:lang w:eastAsia="fr-FR"/>
        </w:rPr>
        <w:t xml:space="preserve"> </w:t>
      </w:r>
      <w:r w:rsidR="00035021" w:rsidRPr="008E25F4">
        <w:rPr>
          <w:rFonts w:eastAsia="Times New Roman" w:cstheme="minorHAnsi"/>
          <w:lang w:eastAsia="fr-FR"/>
        </w:rPr>
        <w:t>Même si cette communication financière obligatoire n’est que partielle puisqu’elle ne concerne que le budget et sa réalisation-le compte administratif</w:t>
      </w:r>
      <w:r w:rsidR="00330AA5" w:rsidRPr="008E25F4">
        <w:rPr>
          <w:rFonts w:eastAsia="Times New Roman" w:cstheme="minorHAnsi"/>
          <w:lang w:eastAsia="fr-FR"/>
        </w:rPr>
        <w:t>-</w:t>
      </w:r>
      <w:r w:rsidR="00035021" w:rsidRPr="008E25F4">
        <w:rPr>
          <w:rFonts w:eastAsia="Times New Roman" w:cstheme="minorHAnsi"/>
          <w:lang w:eastAsia="fr-FR"/>
        </w:rPr>
        <w:t xml:space="preserve"> mais</w:t>
      </w:r>
      <w:r w:rsidR="00330AA5" w:rsidRPr="008E25F4">
        <w:rPr>
          <w:rFonts w:eastAsia="Times New Roman" w:cstheme="minorHAnsi"/>
          <w:lang w:eastAsia="fr-FR"/>
        </w:rPr>
        <w:t xml:space="preserve"> pas la situation patrimoniale</w:t>
      </w:r>
      <w:r w:rsidR="00076FF4" w:rsidRPr="008E25F4">
        <w:rPr>
          <w:rFonts w:eastAsia="Times New Roman" w:cstheme="minorHAnsi"/>
          <w:lang w:eastAsia="fr-FR"/>
        </w:rPr>
        <w:t xml:space="preserve"> -</w:t>
      </w:r>
      <w:r w:rsidR="00330AA5" w:rsidRPr="008E25F4">
        <w:rPr>
          <w:rFonts w:eastAsia="Times New Roman" w:cstheme="minorHAnsi"/>
          <w:lang w:eastAsia="fr-FR"/>
        </w:rPr>
        <w:t>le bilan-</w:t>
      </w:r>
      <w:r w:rsidR="00035021" w:rsidRPr="008E25F4">
        <w:rPr>
          <w:rFonts w:eastAsia="Times New Roman" w:cstheme="minorHAnsi"/>
          <w:lang w:eastAsia="fr-FR"/>
        </w:rPr>
        <w:t xml:space="preserve"> de la </w:t>
      </w:r>
      <w:r w:rsidR="008B4EA7" w:rsidRPr="008E25F4">
        <w:rPr>
          <w:rFonts w:eastAsia="Times New Roman" w:cstheme="minorHAnsi"/>
          <w:lang w:eastAsia="fr-FR"/>
        </w:rPr>
        <w:t>C</w:t>
      </w:r>
      <w:r w:rsidR="004D4731" w:rsidRPr="008E25F4">
        <w:rPr>
          <w:rFonts w:eastAsia="Times New Roman" w:cstheme="minorHAnsi"/>
          <w:lang w:eastAsia="fr-FR"/>
        </w:rPr>
        <w:t>T</w:t>
      </w:r>
      <w:r w:rsidR="00035021" w:rsidRPr="008E25F4">
        <w:rPr>
          <w:rFonts w:eastAsia="Times New Roman" w:cstheme="minorHAnsi"/>
          <w:lang w:eastAsia="fr-FR"/>
        </w:rPr>
        <w:t xml:space="preserve">, elle </w:t>
      </w:r>
      <w:r w:rsidR="00330AA5" w:rsidRPr="008E25F4">
        <w:rPr>
          <w:rFonts w:eastAsia="Times New Roman" w:cstheme="minorHAnsi"/>
          <w:lang w:eastAsia="fr-FR"/>
        </w:rPr>
        <w:t xml:space="preserve">permet </w:t>
      </w:r>
      <w:r w:rsidR="00354A2C" w:rsidRPr="008E25F4">
        <w:rPr>
          <w:rFonts w:eastAsia="Times New Roman" w:cstheme="minorHAnsi"/>
          <w:lang w:eastAsia="fr-FR"/>
        </w:rPr>
        <w:t>une certaine</w:t>
      </w:r>
      <w:r w:rsidR="00330AA5" w:rsidRPr="008E25F4">
        <w:rPr>
          <w:rFonts w:eastAsia="Times New Roman" w:cstheme="minorHAnsi"/>
          <w:lang w:eastAsia="fr-FR"/>
        </w:rPr>
        <w:t xml:space="preserve"> transparence et donne une légitimité aux élus </w:t>
      </w:r>
      <w:r w:rsidR="00330AA5" w:rsidRPr="008E25F4">
        <w:rPr>
          <w:rFonts w:cstheme="minorHAnsi"/>
        </w:rPr>
        <w:t>(</w:t>
      </w:r>
      <w:bookmarkStart w:id="15" w:name="_Hlk35440055"/>
      <w:r w:rsidR="00330AA5" w:rsidRPr="008E25F4">
        <w:rPr>
          <w:rFonts w:cstheme="minorHAnsi"/>
        </w:rPr>
        <w:t>Michel-</w:t>
      </w:r>
      <w:proofErr w:type="spellStart"/>
      <w:r w:rsidR="00330AA5" w:rsidRPr="008E25F4">
        <w:rPr>
          <w:rFonts w:cstheme="minorHAnsi"/>
        </w:rPr>
        <w:t>Clupot</w:t>
      </w:r>
      <w:proofErr w:type="spellEnd"/>
      <w:r w:rsidR="00330AA5" w:rsidRPr="008E25F4">
        <w:rPr>
          <w:rFonts w:cstheme="minorHAnsi"/>
        </w:rPr>
        <w:t xml:space="preserve"> et</w:t>
      </w:r>
      <w:r w:rsidR="005B3DFC" w:rsidRPr="008E25F4">
        <w:rPr>
          <w:rFonts w:cstheme="minorHAnsi"/>
        </w:rPr>
        <w:t xml:space="preserve"> </w:t>
      </w:r>
      <w:proofErr w:type="spellStart"/>
      <w:r w:rsidR="00330AA5" w:rsidRPr="008E25F4">
        <w:rPr>
          <w:rFonts w:cstheme="minorHAnsi"/>
        </w:rPr>
        <w:t>Rouot</w:t>
      </w:r>
      <w:proofErr w:type="spellEnd"/>
      <w:r w:rsidR="005B3DFC" w:rsidRPr="008E25F4">
        <w:rPr>
          <w:rFonts w:cstheme="minorHAnsi"/>
        </w:rPr>
        <w:t xml:space="preserve"> </w:t>
      </w:r>
      <w:r w:rsidR="00330AA5" w:rsidRPr="008E25F4">
        <w:rPr>
          <w:rFonts w:cstheme="minorHAnsi"/>
        </w:rPr>
        <w:t>2015</w:t>
      </w:r>
      <w:bookmarkEnd w:id="15"/>
      <w:r w:rsidR="00F4045A" w:rsidRPr="008E25F4">
        <w:rPr>
          <w:rFonts w:cstheme="minorHAnsi"/>
        </w:rPr>
        <w:t>, p 321</w:t>
      </w:r>
      <w:r w:rsidR="00330AA5" w:rsidRPr="008E25F4">
        <w:rPr>
          <w:rFonts w:cstheme="minorHAnsi"/>
        </w:rPr>
        <w:t xml:space="preserve">). </w:t>
      </w:r>
      <w:r w:rsidR="00C05883" w:rsidRPr="008E25F4">
        <w:rPr>
          <w:rFonts w:cstheme="minorHAnsi"/>
        </w:rPr>
        <w:t>D’ailleurs ces dispositions de communication financière révèlent que le respect de la rè</w:t>
      </w:r>
      <w:r w:rsidR="0051089A" w:rsidRPr="008E25F4">
        <w:rPr>
          <w:rFonts w:cstheme="minorHAnsi"/>
        </w:rPr>
        <w:t xml:space="preserve">glementation est privilégié, lequel </w:t>
      </w:r>
      <w:r w:rsidR="00C05883" w:rsidRPr="008E25F4">
        <w:rPr>
          <w:rFonts w:cstheme="minorHAnsi"/>
        </w:rPr>
        <w:t>serait le gage de la bonne util</w:t>
      </w:r>
      <w:r w:rsidR="0051089A" w:rsidRPr="008E25F4">
        <w:rPr>
          <w:rFonts w:cstheme="minorHAnsi"/>
        </w:rPr>
        <w:t>i</w:t>
      </w:r>
      <w:r w:rsidR="00C05883" w:rsidRPr="008E25F4">
        <w:rPr>
          <w:rFonts w:cstheme="minorHAnsi"/>
        </w:rPr>
        <w:t>sation de l’argent public (</w:t>
      </w:r>
      <w:bookmarkStart w:id="16" w:name="_Hlk35440067"/>
      <w:proofErr w:type="spellStart"/>
      <w:r w:rsidR="00C05883" w:rsidRPr="008E25F4">
        <w:rPr>
          <w:rFonts w:cstheme="minorHAnsi"/>
        </w:rPr>
        <w:t>Adans</w:t>
      </w:r>
      <w:proofErr w:type="spellEnd"/>
      <w:r w:rsidR="00C05883" w:rsidRPr="008E25F4">
        <w:rPr>
          <w:rFonts w:cstheme="minorHAnsi"/>
        </w:rPr>
        <w:t xml:space="preserve"> 2018</w:t>
      </w:r>
      <w:bookmarkEnd w:id="16"/>
      <w:r w:rsidR="00792A86" w:rsidRPr="008E25F4">
        <w:rPr>
          <w:rFonts w:cstheme="minorHAnsi"/>
        </w:rPr>
        <w:t>, p 77</w:t>
      </w:r>
      <w:r w:rsidR="00C05883" w:rsidRPr="008E25F4">
        <w:rPr>
          <w:rFonts w:cstheme="minorHAnsi"/>
        </w:rPr>
        <w:t>).</w:t>
      </w:r>
      <w:r w:rsidR="00283E65" w:rsidRPr="008E25F4">
        <w:rPr>
          <w:rFonts w:cstheme="minorHAnsi"/>
        </w:rPr>
        <w:t xml:space="preserve"> Comme le budget reste un acte politique (</w:t>
      </w:r>
      <w:bookmarkStart w:id="17" w:name="_Hlk35440079"/>
      <w:r w:rsidR="00283E65" w:rsidRPr="008E25F4">
        <w:rPr>
          <w:rFonts w:cstheme="minorHAnsi"/>
        </w:rPr>
        <w:t>Van Herzele 2019</w:t>
      </w:r>
      <w:bookmarkEnd w:id="17"/>
      <w:r w:rsidR="00792A86" w:rsidRPr="008E25F4">
        <w:rPr>
          <w:rFonts w:cstheme="minorHAnsi"/>
        </w:rPr>
        <w:t>, p76</w:t>
      </w:r>
      <w:r w:rsidR="00283E65" w:rsidRPr="008E25F4">
        <w:rPr>
          <w:rFonts w:cstheme="minorHAnsi"/>
        </w:rPr>
        <w:t>) dont l’exécution est retracée dans</w:t>
      </w:r>
      <w:r w:rsidR="0086034D" w:rsidRPr="008E25F4">
        <w:rPr>
          <w:rFonts w:cstheme="minorHAnsi"/>
        </w:rPr>
        <w:t xml:space="preserve"> le compte administratif (</w:t>
      </w:r>
      <w:r w:rsidR="00283E65" w:rsidRPr="008E25F4">
        <w:rPr>
          <w:rFonts w:cstheme="minorHAnsi"/>
        </w:rPr>
        <w:t>f</w:t>
      </w:r>
      <w:r w:rsidR="0086034D" w:rsidRPr="008E25F4">
        <w:rPr>
          <w:rFonts w:cstheme="minorHAnsi"/>
        </w:rPr>
        <w:t xml:space="preserve">lux de dépenses et de recettes), communiquer sur lui informe sur les choix réalisés par l’élu. </w:t>
      </w:r>
      <w:r w:rsidR="008D4467" w:rsidRPr="008E25F4">
        <w:rPr>
          <w:rFonts w:cstheme="minorHAnsi"/>
        </w:rPr>
        <w:t>La certification des comptes apparait complémentaire de cette démarche de communication financière</w:t>
      </w:r>
      <w:r w:rsidR="006B3576" w:rsidRPr="008E25F4">
        <w:rPr>
          <w:rFonts w:cstheme="minorHAnsi"/>
        </w:rPr>
        <w:t xml:space="preserve">, </w:t>
      </w:r>
      <w:r w:rsidR="006B5374" w:rsidRPr="008E25F4">
        <w:rPr>
          <w:rFonts w:cstheme="minorHAnsi"/>
        </w:rPr>
        <w:t>car</w:t>
      </w:r>
      <w:r w:rsidR="006B3576" w:rsidRPr="008E25F4">
        <w:rPr>
          <w:rFonts w:cstheme="minorHAnsi"/>
        </w:rPr>
        <w:t xml:space="preserve"> elle </w:t>
      </w:r>
      <w:r w:rsidR="004C0742" w:rsidRPr="008E25F4">
        <w:rPr>
          <w:rFonts w:cstheme="minorHAnsi"/>
        </w:rPr>
        <w:t>permet de définir les procédures, le rôle des acteurs, de mettre en place un dispositif de maitrise des risques, susceptibles d’améliorer la qualité de l’information financière et comptable, facteur de transparence et d</w:t>
      </w:r>
      <w:r w:rsidR="00076FF4" w:rsidRPr="008E25F4">
        <w:rPr>
          <w:rFonts w:cstheme="minorHAnsi"/>
        </w:rPr>
        <w:t>e base</w:t>
      </w:r>
      <w:r w:rsidR="004C0742" w:rsidRPr="008E25F4">
        <w:rPr>
          <w:rFonts w:cstheme="minorHAnsi"/>
        </w:rPr>
        <w:t xml:space="preserve"> à la communication financière externe </w:t>
      </w:r>
      <w:r w:rsidR="00E93EF5" w:rsidRPr="008E25F4">
        <w:rPr>
          <w:rFonts w:cstheme="minorHAnsi"/>
        </w:rPr>
        <w:t xml:space="preserve">de la </w:t>
      </w:r>
      <w:r w:rsidR="008B4EA7" w:rsidRPr="008E25F4">
        <w:rPr>
          <w:rFonts w:cstheme="minorHAnsi"/>
        </w:rPr>
        <w:t>C</w:t>
      </w:r>
      <w:r w:rsidR="004D4731" w:rsidRPr="008E25F4">
        <w:rPr>
          <w:rFonts w:cstheme="minorHAnsi"/>
        </w:rPr>
        <w:t>T</w:t>
      </w:r>
      <w:r w:rsidR="00E93EF5" w:rsidRPr="008E25F4">
        <w:rPr>
          <w:rFonts w:cstheme="minorHAnsi"/>
        </w:rPr>
        <w:t xml:space="preserve"> </w:t>
      </w:r>
      <w:r w:rsidR="004C0742" w:rsidRPr="008E25F4">
        <w:rPr>
          <w:rFonts w:cstheme="minorHAnsi"/>
        </w:rPr>
        <w:t>(</w:t>
      </w:r>
      <w:bookmarkStart w:id="18" w:name="_Hlk35440094"/>
      <w:r w:rsidR="004C0742" w:rsidRPr="008E25F4">
        <w:rPr>
          <w:rFonts w:cstheme="minorHAnsi"/>
        </w:rPr>
        <w:t>Tanguy 2019</w:t>
      </w:r>
      <w:bookmarkEnd w:id="18"/>
      <w:r w:rsidR="00792A86" w:rsidRPr="008E25F4">
        <w:rPr>
          <w:rFonts w:cstheme="minorHAnsi"/>
        </w:rPr>
        <w:t>, p 68</w:t>
      </w:r>
      <w:r w:rsidR="004C0742" w:rsidRPr="008E25F4">
        <w:rPr>
          <w:rFonts w:cstheme="minorHAnsi"/>
        </w:rPr>
        <w:t xml:space="preserve">). </w:t>
      </w:r>
      <w:r w:rsidR="00E93EF5" w:rsidRPr="008E25F4">
        <w:rPr>
          <w:rFonts w:cstheme="minorHAnsi"/>
        </w:rPr>
        <w:t xml:space="preserve">La certification </w:t>
      </w:r>
      <w:r w:rsidR="00076FF4" w:rsidRPr="008E25F4">
        <w:rPr>
          <w:rFonts w:cstheme="minorHAnsi"/>
        </w:rPr>
        <w:t>permet d’</w:t>
      </w:r>
      <w:r w:rsidR="00E93EF5" w:rsidRPr="008E25F4">
        <w:rPr>
          <w:rFonts w:cstheme="minorHAnsi"/>
        </w:rPr>
        <w:t xml:space="preserve">attester de la transparence et de la qualité des comptes sous l’angle du dispositif de contrôle interne comptable et financier de l’organisme </w:t>
      </w:r>
      <w:r w:rsidR="00076FF4" w:rsidRPr="008E25F4">
        <w:rPr>
          <w:rFonts w:cstheme="minorHAnsi"/>
        </w:rPr>
        <w:t>audité</w:t>
      </w:r>
      <w:r w:rsidR="002C6FBF" w:rsidRPr="008E25F4">
        <w:rPr>
          <w:rStyle w:val="Appelnotedebasdep"/>
          <w:rFonts w:cstheme="minorHAnsi"/>
        </w:rPr>
        <w:footnoteReference w:id="5"/>
      </w:r>
      <w:r w:rsidR="00E93EF5" w:rsidRPr="008E25F4">
        <w:rPr>
          <w:rFonts w:cstheme="minorHAnsi"/>
        </w:rPr>
        <w:t>.  Elle signifie que les états financiers présentés par l’entité (bilan, résultat, annexe</w:t>
      </w:r>
      <w:r w:rsidR="00D430F2" w:rsidRPr="008E25F4">
        <w:rPr>
          <w:rStyle w:val="Appelnotedebasdep"/>
          <w:rFonts w:cstheme="minorHAnsi"/>
        </w:rPr>
        <w:footnoteReference w:id="6"/>
      </w:r>
      <w:r w:rsidR="00E93EF5" w:rsidRPr="008E25F4">
        <w:rPr>
          <w:rFonts w:cstheme="minorHAnsi"/>
        </w:rPr>
        <w:t xml:space="preserve">) ne comportent pas d’anomalie suffisamment significative </w:t>
      </w:r>
      <w:r w:rsidR="003955C0" w:rsidRPr="008E25F4">
        <w:rPr>
          <w:rFonts w:cstheme="minorHAnsi"/>
        </w:rPr>
        <w:t>qui conduirait</w:t>
      </w:r>
      <w:r w:rsidR="00E93EF5" w:rsidRPr="008E25F4">
        <w:rPr>
          <w:rFonts w:cstheme="minorHAnsi"/>
        </w:rPr>
        <w:t xml:space="preserve"> </w:t>
      </w:r>
      <w:r w:rsidR="003955C0" w:rsidRPr="008E25F4">
        <w:rPr>
          <w:rFonts w:cstheme="minorHAnsi"/>
        </w:rPr>
        <w:t xml:space="preserve">à une information erronée sur </w:t>
      </w:r>
      <w:r w:rsidR="00E93EF5" w:rsidRPr="008E25F4">
        <w:rPr>
          <w:rFonts w:cstheme="minorHAnsi"/>
        </w:rPr>
        <w:t xml:space="preserve">la situation patrimoniale et financière de l’entité. </w:t>
      </w:r>
      <w:r w:rsidR="00036A24" w:rsidRPr="008E25F4">
        <w:rPr>
          <w:rFonts w:cstheme="minorHAnsi"/>
        </w:rPr>
        <w:t xml:space="preserve">C’est un instrument de surveillance des organisations à but non lucratif (Van </w:t>
      </w:r>
      <w:proofErr w:type="spellStart"/>
      <w:r w:rsidR="00036A24" w:rsidRPr="008E25F4">
        <w:rPr>
          <w:rFonts w:cstheme="minorHAnsi"/>
        </w:rPr>
        <w:t>Slyke</w:t>
      </w:r>
      <w:proofErr w:type="spellEnd"/>
      <w:r w:rsidR="00036A24" w:rsidRPr="008E25F4">
        <w:rPr>
          <w:rFonts w:cstheme="minorHAnsi"/>
        </w:rPr>
        <w:t xml:space="preserve"> 2007</w:t>
      </w:r>
      <w:r w:rsidR="00BC2634" w:rsidRPr="008E25F4">
        <w:rPr>
          <w:rFonts w:cstheme="minorHAnsi"/>
        </w:rPr>
        <w:t>, p 177</w:t>
      </w:r>
      <w:r w:rsidR="00354A2C" w:rsidRPr="008E25F4">
        <w:rPr>
          <w:rFonts w:cstheme="minorHAnsi"/>
        </w:rPr>
        <w:t>) auxquelles peuvent être assimilées les C</w:t>
      </w:r>
      <w:r w:rsidR="004D4731" w:rsidRPr="008E25F4">
        <w:rPr>
          <w:rFonts w:cstheme="minorHAnsi"/>
        </w:rPr>
        <w:t>T</w:t>
      </w:r>
      <w:r w:rsidR="002C2303" w:rsidRPr="008E25F4">
        <w:rPr>
          <w:rFonts w:cstheme="minorHAnsi"/>
        </w:rPr>
        <w:t xml:space="preserve"> et dans lesquelles agents et principaux poursuivr</w:t>
      </w:r>
      <w:r w:rsidR="00792A86" w:rsidRPr="008E25F4">
        <w:rPr>
          <w:rFonts w:cstheme="minorHAnsi"/>
        </w:rPr>
        <w:t>aient</w:t>
      </w:r>
      <w:r w:rsidR="002C2303" w:rsidRPr="008E25F4">
        <w:rPr>
          <w:rFonts w:cstheme="minorHAnsi"/>
        </w:rPr>
        <w:t xml:space="preserve"> un but commun.</w:t>
      </w:r>
      <w:r w:rsidR="00FB7232" w:rsidRPr="008E25F4">
        <w:rPr>
          <w:rFonts w:cstheme="minorHAnsi"/>
        </w:rPr>
        <w:t xml:space="preserve"> </w:t>
      </w:r>
    </w:p>
    <w:p w14:paraId="1F86B644" w14:textId="77777777" w:rsidR="00943C1F" w:rsidRPr="008E25F4" w:rsidRDefault="00943C1F" w:rsidP="0062463D">
      <w:pPr>
        <w:suppressAutoHyphens/>
        <w:spacing w:before="360" w:after="360"/>
        <w:jc w:val="both"/>
        <w:rPr>
          <w:rFonts w:cstheme="minorHAnsi"/>
          <w:b/>
        </w:rPr>
      </w:pPr>
    </w:p>
    <w:p w14:paraId="0E0B0D89" w14:textId="42FE89F5" w:rsidR="00A50709" w:rsidRPr="008E25F4" w:rsidRDefault="00F8392F" w:rsidP="00620E10">
      <w:pPr>
        <w:pStyle w:val="Style2"/>
        <w:suppressAutoHyphens/>
        <w:spacing w:before="360" w:beforeAutospacing="0" w:after="240" w:afterAutospacing="0"/>
        <w:rPr>
          <w:rFonts w:asciiTheme="minorHAnsi" w:hAnsiTheme="minorHAnsi" w:cstheme="minorHAnsi"/>
          <w:sz w:val="22"/>
          <w:szCs w:val="22"/>
        </w:rPr>
      </w:pPr>
      <w:r>
        <w:rPr>
          <w:rFonts w:asciiTheme="minorHAnsi" w:hAnsiTheme="minorHAnsi" w:cstheme="minorHAnsi"/>
          <w:sz w:val="22"/>
          <w:szCs w:val="22"/>
        </w:rPr>
        <w:t>1.</w:t>
      </w:r>
      <w:r w:rsidR="00106098" w:rsidRPr="008E25F4">
        <w:rPr>
          <w:rFonts w:asciiTheme="minorHAnsi" w:hAnsiTheme="minorHAnsi" w:cstheme="minorHAnsi"/>
          <w:sz w:val="22"/>
          <w:szCs w:val="22"/>
        </w:rPr>
        <w:t>3.</w:t>
      </w:r>
      <w:r>
        <w:rPr>
          <w:rFonts w:asciiTheme="minorHAnsi" w:hAnsiTheme="minorHAnsi" w:cstheme="minorHAnsi"/>
          <w:sz w:val="22"/>
          <w:szCs w:val="22"/>
        </w:rPr>
        <w:t xml:space="preserve"> </w:t>
      </w:r>
      <w:r w:rsidR="00431E4B" w:rsidRPr="008E25F4">
        <w:rPr>
          <w:rFonts w:asciiTheme="minorHAnsi" w:hAnsiTheme="minorHAnsi" w:cstheme="minorHAnsi"/>
          <w:sz w:val="22"/>
          <w:szCs w:val="22"/>
        </w:rPr>
        <w:t xml:space="preserve">La communication financière et la certification des comptes </w:t>
      </w:r>
      <w:r w:rsidR="00B04551" w:rsidRPr="008E25F4">
        <w:rPr>
          <w:rFonts w:asciiTheme="minorHAnsi" w:hAnsiTheme="minorHAnsi" w:cstheme="minorHAnsi"/>
          <w:sz w:val="22"/>
          <w:szCs w:val="22"/>
        </w:rPr>
        <w:t>renforcent</w:t>
      </w:r>
      <w:r w:rsidR="00431E4B" w:rsidRPr="008E25F4">
        <w:rPr>
          <w:rFonts w:asciiTheme="minorHAnsi" w:hAnsiTheme="minorHAnsi" w:cstheme="minorHAnsi"/>
          <w:sz w:val="22"/>
          <w:szCs w:val="22"/>
        </w:rPr>
        <w:t xml:space="preserve"> </w:t>
      </w:r>
      <w:r w:rsidR="00810A39" w:rsidRPr="008E25F4">
        <w:rPr>
          <w:rFonts w:asciiTheme="minorHAnsi" w:hAnsiTheme="minorHAnsi" w:cstheme="minorHAnsi"/>
          <w:sz w:val="22"/>
          <w:szCs w:val="22"/>
        </w:rPr>
        <w:t xml:space="preserve">aussi </w:t>
      </w:r>
      <w:r w:rsidR="00431E4B" w:rsidRPr="008E25F4">
        <w:rPr>
          <w:rFonts w:asciiTheme="minorHAnsi" w:hAnsiTheme="minorHAnsi" w:cstheme="minorHAnsi"/>
          <w:sz w:val="22"/>
          <w:szCs w:val="22"/>
        </w:rPr>
        <w:t>une relation d’intendance</w:t>
      </w:r>
      <w:r w:rsidR="00B04551" w:rsidRPr="008E25F4">
        <w:rPr>
          <w:rFonts w:asciiTheme="minorHAnsi" w:hAnsiTheme="minorHAnsi" w:cstheme="minorHAnsi"/>
          <w:sz w:val="22"/>
          <w:szCs w:val="22"/>
        </w:rPr>
        <w:t xml:space="preserve"> existante</w:t>
      </w:r>
      <w:r w:rsidR="00431E4B" w:rsidRPr="008E25F4">
        <w:rPr>
          <w:rFonts w:asciiTheme="minorHAnsi" w:hAnsiTheme="minorHAnsi" w:cstheme="minorHAnsi"/>
          <w:sz w:val="22"/>
          <w:szCs w:val="22"/>
        </w:rPr>
        <w:t> </w:t>
      </w:r>
    </w:p>
    <w:p w14:paraId="591303CB" w14:textId="2009C0F4" w:rsidR="003F2D2B" w:rsidRPr="008E25F4" w:rsidRDefault="004F64B0" w:rsidP="00932E08">
      <w:pPr>
        <w:suppressAutoHyphens/>
        <w:jc w:val="both"/>
        <w:rPr>
          <w:rFonts w:cstheme="minorHAnsi"/>
        </w:rPr>
      </w:pPr>
      <w:bookmarkStart w:id="19" w:name="_Hlk35440135"/>
      <w:r w:rsidRPr="008E25F4">
        <w:rPr>
          <w:rFonts w:cstheme="minorHAnsi"/>
        </w:rPr>
        <w:t>Jensen</w:t>
      </w:r>
      <w:r w:rsidR="00B03075" w:rsidRPr="008E25F4">
        <w:rPr>
          <w:rFonts w:cstheme="minorHAnsi"/>
        </w:rPr>
        <w:t xml:space="preserve"> </w:t>
      </w:r>
      <w:r w:rsidRPr="008E25F4">
        <w:rPr>
          <w:rFonts w:cstheme="minorHAnsi"/>
        </w:rPr>
        <w:t>et Meckling (1994</w:t>
      </w:r>
      <w:r w:rsidR="00BC2634" w:rsidRPr="008E25F4">
        <w:rPr>
          <w:rFonts w:cstheme="minorHAnsi"/>
        </w:rPr>
        <w:t>, p 10</w:t>
      </w:r>
      <w:r w:rsidRPr="008E25F4">
        <w:rPr>
          <w:rFonts w:cstheme="minorHAnsi"/>
        </w:rPr>
        <w:t xml:space="preserve">) </w:t>
      </w:r>
      <w:bookmarkEnd w:id="19"/>
      <w:r w:rsidRPr="008E25F4">
        <w:rPr>
          <w:rFonts w:cstheme="minorHAnsi"/>
        </w:rPr>
        <w:t xml:space="preserve">critiquent leur modèle initial du comportement humain, reconnaissant qu’il s’agit d’une description irréaliste pour les besoins de la modélisation mathématique. Pour </w:t>
      </w:r>
      <w:bookmarkStart w:id="20" w:name="_Hlk35440156"/>
      <w:proofErr w:type="spellStart"/>
      <w:r w:rsidRPr="008E25F4">
        <w:rPr>
          <w:rFonts w:cstheme="minorHAnsi"/>
        </w:rPr>
        <w:t>Doucouliagos</w:t>
      </w:r>
      <w:proofErr w:type="spellEnd"/>
      <w:r w:rsidRPr="008E25F4">
        <w:rPr>
          <w:rFonts w:cstheme="minorHAnsi"/>
        </w:rPr>
        <w:t xml:space="preserve"> (1994</w:t>
      </w:r>
      <w:bookmarkEnd w:id="20"/>
      <w:r w:rsidR="00124A34" w:rsidRPr="008E25F4">
        <w:rPr>
          <w:rFonts w:cstheme="minorHAnsi"/>
        </w:rPr>
        <w:t>, p 878</w:t>
      </w:r>
      <w:r w:rsidRPr="008E25F4">
        <w:rPr>
          <w:rFonts w:cstheme="minorHAnsi"/>
        </w:rPr>
        <w:t>), considérer de tou</w:t>
      </w:r>
      <w:r w:rsidR="003F3F1F" w:rsidRPr="008E25F4">
        <w:rPr>
          <w:rFonts w:cstheme="minorHAnsi"/>
        </w:rPr>
        <w:t>s les comportements sont motivé</w:t>
      </w:r>
      <w:r w:rsidRPr="008E25F4">
        <w:rPr>
          <w:rFonts w:cstheme="minorHAnsi"/>
        </w:rPr>
        <w:t>s par la satisfaction des intérêts personnels n’explique pas la complexité du comportement humain. Franck (1994) considère que ce modèle économique de l’homme n</w:t>
      </w:r>
      <w:r w:rsidR="003F3F1F" w:rsidRPr="008E25F4">
        <w:rPr>
          <w:rFonts w:cstheme="minorHAnsi"/>
        </w:rPr>
        <w:t>e permet</w:t>
      </w:r>
      <w:r w:rsidRPr="008E25F4">
        <w:rPr>
          <w:rFonts w:cstheme="minorHAnsi"/>
        </w:rPr>
        <w:t xml:space="preserve"> pas</w:t>
      </w:r>
      <w:r w:rsidR="003F3F1F" w:rsidRPr="008E25F4">
        <w:rPr>
          <w:rFonts w:cstheme="minorHAnsi"/>
        </w:rPr>
        <w:t xml:space="preserve"> de comprendre</w:t>
      </w:r>
      <w:r w:rsidRPr="008E25F4">
        <w:rPr>
          <w:rFonts w:cstheme="minorHAnsi"/>
        </w:rPr>
        <w:t xml:space="preserve"> la recherche de la fibre sociale. </w:t>
      </w:r>
    </w:p>
    <w:p w14:paraId="49855BB9" w14:textId="5559D420" w:rsidR="003955C0" w:rsidRPr="008E25F4" w:rsidRDefault="007843DA" w:rsidP="00932E08">
      <w:pPr>
        <w:suppressAutoHyphens/>
        <w:jc w:val="both"/>
        <w:rPr>
          <w:rFonts w:cstheme="minorHAnsi"/>
        </w:rPr>
      </w:pPr>
      <w:r w:rsidRPr="008E25F4">
        <w:rPr>
          <w:rFonts w:cstheme="minorHAnsi"/>
        </w:rPr>
        <w:t>La théorie de l’intendance considère qu</w:t>
      </w:r>
      <w:r w:rsidR="00425F3A" w:rsidRPr="008E25F4">
        <w:rPr>
          <w:rFonts w:cstheme="minorHAnsi"/>
        </w:rPr>
        <w:t xml:space="preserve">e le dirigeant, l’agent, </w:t>
      </w:r>
      <w:r w:rsidR="005A234C" w:rsidRPr="008E25F4">
        <w:rPr>
          <w:rFonts w:cstheme="minorHAnsi"/>
        </w:rPr>
        <w:t>appelé intendant</w:t>
      </w:r>
      <w:r w:rsidRPr="008E25F4">
        <w:rPr>
          <w:rFonts w:cstheme="minorHAnsi"/>
        </w:rPr>
        <w:t xml:space="preserve"> agit dans l’intérêt des principaux, il a un comportement pro-organisation, collectiviste (</w:t>
      </w:r>
      <w:bookmarkStart w:id="21" w:name="_Hlk35440176"/>
      <w:r w:rsidRPr="008E25F4">
        <w:rPr>
          <w:rFonts w:cstheme="minorHAnsi"/>
        </w:rPr>
        <w:t>Donaldson 199</w:t>
      </w:r>
      <w:r w:rsidR="00D978C8" w:rsidRPr="008E25F4">
        <w:rPr>
          <w:rFonts w:cstheme="minorHAnsi"/>
        </w:rPr>
        <w:t>0</w:t>
      </w:r>
      <w:r w:rsidRPr="008E25F4">
        <w:rPr>
          <w:rFonts w:cstheme="minorHAnsi"/>
        </w:rPr>
        <w:t xml:space="preserve">, </w:t>
      </w:r>
      <w:r w:rsidR="00D978C8" w:rsidRPr="008E25F4">
        <w:rPr>
          <w:rFonts w:cstheme="minorHAnsi"/>
        </w:rPr>
        <w:t>p 377</w:t>
      </w:r>
      <w:bookmarkEnd w:id="21"/>
      <w:r w:rsidRPr="008E25F4">
        <w:rPr>
          <w:rFonts w:cstheme="minorHAnsi"/>
        </w:rPr>
        <w:t>)</w:t>
      </w:r>
      <w:r w:rsidR="005C78A7" w:rsidRPr="008E25F4">
        <w:rPr>
          <w:rFonts w:cstheme="minorHAnsi"/>
        </w:rPr>
        <w:t>. L’</w:t>
      </w:r>
      <w:r w:rsidR="005A234C" w:rsidRPr="008E25F4">
        <w:rPr>
          <w:rFonts w:cstheme="minorHAnsi"/>
        </w:rPr>
        <w:t>intendant</w:t>
      </w:r>
      <w:r w:rsidR="003F3F1F" w:rsidRPr="008E25F4">
        <w:rPr>
          <w:rFonts w:cstheme="minorHAnsi"/>
        </w:rPr>
        <w:t xml:space="preserve"> recherchant</w:t>
      </w:r>
      <w:r w:rsidR="005C78A7" w:rsidRPr="008E25F4">
        <w:rPr>
          <w:rFonts w:cstheme="minorHAnsi"/>
        </w:rPr>
        <w:t xml:space="preserve"> l’atteinte des objectifs de l’</w:t>
      </w:r>
      <w:r w:rsidR="003F3F1F" w:rsidRPr="008E25F4">
        <w:rPr>
          <w:rFonts w:cstheme="minorHAnsi"/>
        </w:rPr>
        <w:t>organisation et l</w:t>
      </w:r>
      <w:r w:rsidR="005C78A7" w:rsidRPr="008E25F4">
        <w:rPr>
          <w:rFonts w:cstheme="minorHAnsi"/>
        </w:rPr>
        <w:t xml:space="preserve">’hypothèse d’existence d’une relation forte entre réussite de l’organisation et satisfaction des principaux (ex les actionnaires) </w:t>
      </w:r>
      <w:r w:rsidR="003F3F1F" w:rsidRPr="008E25F4">
        <w:rPr>
          <w:rFonts w:cstheme="minorHAnsi"/>
        </w:rPr>
        <w:t>étant émise, il protège et maximise la richesse des actionnaires et sa fonction d’utilité est aussi maximisée.</w:t>
      </w:r>
      <w:r w:rsidR="005C78A7" w:rsidRPr="008E25F4">
        <w:rPr>
          <w:rFonts w:cstheme="minorHAnsi"/>
        </w:rPr>
        <w:t xml:space="preserve"> </w:t>
      </w:r>
    </w:p>
    <w:p w14:paraId="1C1CA99E" w14:textId="49556DED" w:rsidR="00D353E0" w:rsidRPr="008E25F4" w:rsidRDefault="00FA0C09" w:rsidP="00932E08">
      <w:pPr>
        <w:suppressAutoHyphens/>
        <w:jc w:val="both"/>
        <w:rPr>
          <w:rFonts w:cstheme="minorHAnsi"/>
        </w:rPr>
      </w:pPr>
      <w:r w:rsidRPr="008E25F4">
        <w:rPr>
          <w:rFonts w:cstheme="minorHAnsi"/>
        </w:rPr>
        <w:t xml:space="preserve">L’approche de la théorie de l’intendance par </w:t>
      </w:r>
      <w:bookmarkStart w:id="22" w:name="_Hlk35440205"/>
      <w:r w:rsidR="00D978C8" w:rsidRPr="008E25F4">
        <w:rPr>
          <w:rFonts w:cstheme="minorHAnsi"/>
        </w:rPr>
        <w:t xml:space="preserve">Donaldson (1990), </w:t>
      </w:r>
      <w:r w:rsidRPr="008E25F4">
        <w:rPr>
          <w:rFonts w:cstheme="minorHAnsi"/>
        </w:rPr>
        <w:t xml:space="preserve">Davis et </w:t>
      </w:r>
      <w:r w:rsidRPr="008E25F4">
        <w:rPr>
          <w:rFonts w:cstheme="minorHAnsi"/>
          <w:i/>
        </w:rPr>
        <w:t>al</w:t>
      </w:r>
      <w:r w:rsidR="00490038" w:rsidRPr="008E25F4">
        <w:rPr>
          <w:rFonts w:cstheme="minorHAnsi"/>
          <w:i/>
        </w:rPr>
        <w:t>.</w:t>
      </w:r>
      <w:r w:rsidR="00270288" w:rsidRPr="008E25F4">
        <w:rPr>
          <w:rFonts w:cstheme="minorHAnsi"/>
        </w:rPr>
        <w:t xml:space="preserve"> </w:t>
      </w:r>
      <w:r w:rsidR="001B5F50" w:rsidRPr="008E25F4">
        <w:rPr>
          <w:rFonts w:cstheme="minorHAnsi"/>
        </w:rPr>
        <w:t>(1997</w:t>
      </w:r>
      <w:r w:rsidR="00B56A60" w:rsidRPr="008E25F4">
        <w:rPr>
          <w:rFonts w:cstheme="minorHAnsi"/>
        </w:rPr>
        <w:t>a</w:t>
      </w:r>
      <w:r w:rsidR="00D978C8" w:rsidRPr="008E25F4">
        <w:rPr>
          <w:rFonts w:cstheme="minorHAnsi"/>
        </w:rPr>
        <w:t>)</w:t>
      </w:r>
      <w:r w:rsidR="001B5F50" w:rsidRPr="008E25F4">
        <w:rPr>
          <w:rFonts w:cstheme="minorHAnsi"/>
        </w:rPr>
        <w:t xml:space="preserve"> </w:t>
      </w:r>
      <w:bookmarkEnd w:id="22"/>
      <w:r w:rsidR="001B5F50" w:rsidRPr="008E25F4">
        <w:rPr>
          <w:rFonts w:cstheme="minorHAnsi"/>
        </w:rPr>
        <w:t>selon</w:t>
      </w:r>
      <w:r w:rsidRPr="008E25F4">
        <w:rPr>
          <w:rFonts w:cstheme="minorHAnsi"/>
        </w:rPr>
        <w:t xml:space="preserve"> des considérations psychologiques</w:t>
      </w:r>
      <w:r w:rsidR="00BB70B4" w:rsidRPr="008E25F4">
        <w:rPr>
          <w:rFonts w:cstheme="minorHAnsi"/>
        </w:rPr>
        <w:t xml:space="preserve"> et contextuelles nous</w:t>
      </w:r>
      <w:r w:rsidRPr="008E25F4">
        <w:rPr>
          <w:rFonts w:cstheme="minorHAnsi"/>
        </w:rPr>
        <w:t xml:space="preserve"> </w:t>
      </w:r>
      <w:r w:rsidR="00490038" w:rsidRPr="008E25F4">
        <w:rPr>
          <w:rFonts w:cstheme="minorHAnsi"/>
        </w:rPr>
        <w:t xml:space="preserve">laisse penser que cette théorie permet </w:t>
      </w:r>
      <w:r w:rsidRPr="008E25F4">
        <w:rPr>
          <w:rFonts w:cstheme="minorHAnsi"/>
        </w:rPr>
        <w:t xml:space="preserve">d’appréhender </w:t>
      </w:r>
      <w:r w:rsidR="001B5F50" w:rsidRPr="008E25F4">
        <w:rPr>
          <w:rFonts w:cstheme="minorHAnsi"/>
        </w:rPr>
        <w:t xml:space="preserve">certaines relations entre parties prenantes en </w:t>
      </w:r>
      <w:r w:rsidR="008B4EA7" w:rsidRPr="008E25F4">
        <w:rPr>
          <w:rFonts w:cstheme="minorHAnsi"/>
        </w:rPr>
        <w:t>C</w:t>
      </w:r>
      <w:r w:rsidR="004D4731" w:rsidRPr="008E25F4">
        <w:rPr>
          <w:rFonts w:cstheme="minorHAnsi"/>
        </w:rPr>
        <w:t>T</w:t>
      </w:r>
      <w:r w:rsidR="001B5F50" w:rsidRPr="008E25F4">
        <w:rPr>
          <w:rFonts w:cstheme="minorHAnsi"/>
        </w:rPr>
        <w:t xml:space="preserve"> et notamment</w:t>
      </w:r>
      <w:r w:rsidRPr="008E25F4">
        <w:rPr>
          <w:rFonts w:cstheme="minorHAnsi"/>
        </w:rPr>
        <w:t xml:space="preserve"> entre élus et citoyens. </w:t>
      </w:r>
      <w:r w:rsidR="003F54E4" w:rsidRPr="008E25F4">
        <w:rPr>
          <w:rFonts w:cstheme="minorHAnsi"/>
        </w:rPr>
        <w:lastRenderedPageBreak/>
        <w:t xml:space="preserve">Les auteurs font référence à </w:t>
      </w:r>
      <w:bookmarkStart w:id="23" w:name="_Hlk35440220"/>
      <w:r w:rsidR="003F54E4" w:rsidRPr="008E25F4">
        <w:rPr>
          <w:rFonts w:cstheme="minorHAnsi"/>
        </w:rPr>
        <w:t>Mc Gregor (1960) et à</w:t>
      </w:r>
      <w:r w:rsidR="008A78FF" w:rsidRPr="008E25F4">
        <w:rPr>
          <w:rFonts w:cstheme="minorHAnsi"/>
        </w:rPr>
        <w:t xml:space="preserve"> </w:t>
      </w:r>
      <w:r w:rsidR="003F54E4" w:rsidRPr="008E25F4">
        <w:rPr>
          <w:rFonts w:cstheme="minorHAnsi"/>
        </w:rPr>
        <w:t xml:space="preserve">Maslow (1970) </w:t>
      </w:r>
      <w:bookmarkEnd w:id="23"/>
      <w:r w:rsidR="003F54E4" w:rsidRPr="008E25F4">
        <w:rPr>
          <w:rFonts w:cstheme="minorHAnsi"/>
        </w:rPr>
        <w:t xml:space="preserve">qui voient dans le comportement humain la recherche de la satisfaction de besoins de plus en plus </w:t>
      </w:r>
      <w:r w:rsidR="00983EB5" w:rsidRPr="008E25F4">
        <w:rPr>
          <w:rFonts w:cstheme="minorHAnsi"/>
        </w:rPr>
        <w:t>soph</w:t>
      </w:r>
      <w:r w:rsidR="003F54E4" w:rsidRPr="008E25F4">
        <w:rPr>
          <w:rFonts w:cstheme="minorHAnsi"/>
        </w:rPr>
        <w:t xml:space="preserve">istiqués au fur et à mesure que l’homme </w:t>
      </w:r>
      <w:r w:rsidR="00C260B2" w:rsidRPr="008E25F4">
        <w:rPr>
          <w:rFonts w:cstheme="minorHAnsi"/>
        </w:rPr>
        <w:t>gravit</w:t>
      </w:r>
      <w:r w:rsidR="003F54E4" w:rsidRPr="008E25F4">
        <w:rPr>
          <w:rFonts w:cstheme="minorHAnsi"/>
        </w:rPr>
        <w:t xml:space="preserve"> les </w:t>
      </w:r>
      <w:r w:rsidR="00C260B2" w:rsidRPr="008E25F4">
        <w:rPr>
          <w:rFonts w:cstheme="minorHAnsi"/>
        </w:rPr>
        <w:t xml:space="preserve">différents </w:t>
      </w:r>
      <w:r w:rsidR="003F54E4" w:rsidRPr="008E25F4">
        <w:rPr>
          <w:rFonts w:cstheme="minorHAnsi"/>
        </w:rPr>
        <w:t xml:space="preserve">états d’accomplissement. </w:t>
      </w:r>
      <w:r w:rsidR="00C260B2" w:rsidRPr="008E25F4">
        <w:rPr>
          <w:rFonts w:cstheme="minorHAnsi"/>
        </w:rPr>
        <w:t>Quand</w:t>
      </w:r>
      <w:r w:rsidR="003F54E4" w:rsidRPr="008E25F4">
        <w:rPr>
          <w:rFonts w:cstheme="minorHAnsi"/>
        </w:rPr>
        <w:t xml:space="preserve"> l’homme s’élève dans la hiérarch</w:t>
      </w:r>
      <w:r w:rsidR="00C260B2" w:rsidRPr="008E25F4">
        <w:rPr>
          <w:rFonts w:cstheme="minorHAnsi"/>
        </w:rPr>
        <w:t xml:space="preserve">ie des besoins, il recherche l’accomplissement personnel, l’adhésion à l’organisation, </w:t>
      </w:r>
      <w:r w:rsidR="005A234C" w:rsidRPr="008E25F4">
        <w:rPr>
          <w:rFonts w:cstheme="minorHAnsi"/>
        </w:rPr>
        <w:t xml:space="preserve">la confiance, </w:t>
      </w:r>
      <w:r w:rsidR="00C260B2" w:rsidRPr="008E25F4">
        <w:rPr>
          <w:rFonts w:cstheme="minorHAnsi"/>
        </w:rPr>
        <w:t xml:space="preserve">une évolution auto-conduite que Davis </w:t>
      </w:r>
      <w:r w:rsidR="00C260B2" w:rsidRPr="008E25F4">
        <w:rPr>
          <w:rFonts w:cstheme="minorHAnsi"/>
          <w:i/>
        </w:rPr>
        <w:t>et al</w:t>
      </w:r>
      <w:r w:rsidR="00E93EF5" w:rsidRPr="008E25F4">
        <w:rPr>
          <w:rFonts w:cstheme="minorHAnsi"/>
        </w:rPr>
        <w:t xml:space="preserve"> </w:t>
      </w:r>
      <w:r w:rsidR="00C260B2" w:rsidRPr="008E25F4">
        <w:rPr>
          <w:rFonts w:cstheme="minorHAnsi"/>
        </w:rPr>
        <w:t>(1997</w:t>
      </w:r>
      <w:r w:rsidR="00B56A60" w:rsidRPr="008E25F4">
        <w:rPr>
          <w:rFonts w:cstheme="minorHAnsi"/>
        </w:rPr>
        <w:t>a</w:t>
      </w:r>
      <w:r w:rsidR="00D978C8" w:rsidRPr="008E25F4">
        <w:rPr>
          <w:rFonts w:cstheme="minorHAnsi"/>
        </w:rPr>
        <w:t xml:space="preserve">, p </w:t>
      </w:r>
      <w:r w:rsidR="00B86DBA" w:rsidRPr="008E25F4">
        <w:rPr>
          <w:rFonts w:cstheme="minorHAnsi"/>
        </w:rPr>
        <w:t>28</w:t>
      </w:r>
      <w:r w:rsidR="00C260B2" w:rsidRPr="008E25F4">
        <w:rPr>
          <w:rFonts w:cstheme="minorHAnsi"/>
        </w:rPr>
        <w:t xml:space="preserve">) nomment facteurs intrinsèques de motivation par opposition aux facteurs d’incitation extrinsèques de la théorie de l’agence qui sont davantage quantifiables. </w:t>
      </w:r>
      <w:r w:rsidR="003C0E2C" w:rsidRPr="008E25F4">
        <w:rPr>
          <w:rFonts w:cstheme="minorHAnsi"/>
        </w:rPr>
        <w:t>Nous avons déjà écarté pour les élus le mécanis</w:t>
      </w:r>
      <w:r w:rsidR="00D3416E" w:rsidRPr="008E25F4">
        <w:rPr>
          <w:rFonts w:cstheme="minorHAnsi"/>
        </w:rPr>
        <w:t xml:space="preserve">me des incitations pécuniaires, leur faible rémunération ou plutôt indemnité serait compensée par </w:t>
      </w:r>
      <w:r w:rsidR="009107E6" w:rsidRPr="008E25F4">
        <w:rPr>
          <w:rFonts w:cstheme="minorHAnsi"/>
        </w:rPr>
        <w:t>leurs</w:t>
      </w:r>
      <w:r w:rsidR="00D3416E" w:rsidRPr="008E25F4">
        <w:rPr>
          <w:rFonts w:cstheme="minorHAnsi"/>
        </w:rPr>
        <w:t xml:space="preserve"> services rendus à externalités positives notamment l’intérêt général (</w:t>
      </w:r>
      <w:bookmarkStart w:id="24" w:name="_Hlk35440245"/>
      <w:r w:rsidR="00D3416E" w:rsidRPr="008E25F4">
        <w:rPr>
          <w:rFonts w:cstheme="minorHAnsi"/>
        </w:rPr>
        <w:t>Preston 1989</w:t>
      </w:r>
      <w:bookmarkEnd w:id="24"/>
      <w:r w:rsidR="00D3416E" w:rsidRPr="008E25F4">
        <w:rPr>
          <w:rFonts w:cstheme="minorHAnsi"/>
        </w:rPr>
        <w:t xml:space="preserve">).  </w:t>
      </w:r>
      <w:r w:rsidR="003C0E2C" w:rsidRPr="008E25F4">
        <w:rPr>
          <w:rFonts w:cstheme="minorHAnsi"/>
        </w:rPr>
        <w:t xml:space="preserve">Aussi, l’identification </w:t>
      </w:r>
      <w:r w:rsidR="00B256C6">
        <w:rPr>
          <w:rFonts w:cstheme="minorHAnsi"/>
        </w:rPr>
        <w:t>de l’agent</w:t>
      </w:r>
      <w:r w:rsidR="003C0E2C" w:rsidRPr="008E25F4">
        <w:rPr>
          <w:rFonts w:cstheme="minorHAnsi"/>
        </w:rPr>
        <w:t xml:space="preserve"> à l’organisation </w:t>
      </w:r>
      <w:r w:rsidR="00A45715" w:rsidRPr="008E25F4">
        <w:rPr>
          <w:rFonts w:cstheme="minorHAnsi"/>
        </w:rPr>
        <w:t>(</w:t>
      </w:r>
      <w:bookmarkStart w:id="25" w:name="_Hlk35440262"/>
      <w:r w:rsidR="00A45715" w:rsidRPr="008E25F4">
        <w:rPr>
          <w:rFonts w:cstheme="minorHAnsi"/>
        </w:rPr>
        <w:t xml:space="preserve">Mael et </w:t>
      </w:r>
      <w:proofErr w:type="spellStart"/>
      <w:r w:rsidR="00A45715" w:rsidRPr="008E25F4">
        <w:rPr>
          <w:rFonts w:cstheme="minorHAnsi"/>
        </w:rPr>
        <w:t>Ashforth</w:t>
      </w:r>
      <w:proofErr w:type="spellEnd"/>
      <w:r w:rsidR="00A45715" w:rsidRPr="008E25F4">
        <w:rPr>
          <w:rFonts w:cstheme="minorHAnsi"/>
        </w:rPr>
        <w:t xml:space="preserve"> 1992, </w:t>
      </w:r>
      <w:proofErr w:type="spellStart"/>
      <w:r w:rsidR="00A45715" w:rsidRPr="008E25F4">
        <w:rPr>
          <w:rFonts w:cstheme="minorHAnsi"/>
        </w:rPr>
        <w:t>Avey</w:t>
      </w:r>
      <w:proofErr w:type="spellEnd"/>
      <w:r w:rsidR="00A45715" w:rsidRPr="008E25F4">
        <w:rPr>
          <w:rFonts w:cstheme="minorHAnsi"/>
        </w:rPr>
        <w:t xml:space="preserve"> </w:t>
      </w:r>
      <w:r w:rsidR="00A45715" w:rsidRPr="008E25F4">
        <w:rPr>
          <w:rFonts w:cstheme="minorHAnsi"/>
          <w:i/>
        </w:rPr>
        <w:t xml:space="preserve">et al </w:t>
      </w:r>
      <w:r w:rsidR="00A45715" w:rsidRPr="008E25F4">
        <w:rPr>
          <w:rFonts w:cstheme="minorHAnsi"/>
        </w:rPr>
        <w:t>2009</w:t>
      </w:r>
      <w:bookmarkEnd w:id="25"/>
      <w:r w:rsidR="00A45715" w:rsidRPr="008E25F4">
        <w:rPr>
          <w:rFonts w:cstheme="minorHAnsi"/>
        </w:rPr>
        <w:t xml:space="preserve">) </w:t>
      </w:r>
      <w:r w:rsidR="003C0E2C" w:rsidRPr="008E25F4">
        <w:rPr>
          <w:rFonts w:cstheme="minorHAnsi"/>
        </w:rPr>
        <w:t>lorsqu’il accepte sa mission</w:t>
      </w:r>
      <w:r w:rsidR="004F08FC" w:rsidRPr="008E25F4">
        <w:rPr>
          <w:rFonts w:cstheme="minorHAnsi"/>
        </w:rPr>
        <w:t xml:space="preserve">, notamment </w:t>
      </w:r>
      <w:r w:rsidR="003C0E2C" w:rsidRPr="008E25F4">
        <w:rPr>
          <w:rFonts w:cstheme="minorHAnsi"/>
        </w:rPr>
        <w:t>son engagement dans les objectifs de cette dernière</w:t>
      </w:r>
      <w:r w:rsidR="004F08FC" w:rsidRPr="008E25F4">
        <w:rPr>
          <w:rFonts w:cstheme="minorHAnsi"/>
        </w:rPr>
        <w:t xml:space="preserve"> et </w:t>
      </w:r>
      <w:r w:rsidR="003C0E2C" w:rsidRPr="008E25F4">
        <w:rPr>
          <w:rFonts w:cstheme="minorHAnsi"/>
        </w:rPr>
        <w:t xml:space="preserve">son appropriation des succès et échecs de l’organisation, caractéristique des relations d’intendance, </w:t>
      </w:r>
      <w:r w:rsidR="00E430C6" w:rsidRPr="008E25F4">
        <w:rPr>
          <w:rFonts w:cstheme="minorHAnsi"/>
        </w:rPr>
        <w:t>peut être transposée à l’</w:t>
      </w:r>
      <w:r w:rsidR="00403CC7" w:rsidRPr="008E25F4">
        <w:rPr>
          <w:rFonts w:cstheme="minorHAnsi"/>
        </w:rPr>
        <w:t xml:space="preserve">individu élu local qu’on entend souvent dire « ma commune », « mes concitoyens », « mon personnel » pour parler </w:t>
      </w:r>
      <w:r w:rsidR="00983EB5" w:rsidRPr="008E25F4">
        <w:rPr>
          <w:rFonts w:cstheme="minorHAnsi"/>
        </w:rPr>
        <w:t xml:space="preserve">de la </w:t>
      </w:r>
      <w:r w:rsidR="008B4EA7" w:rsidRPr="008E25F4">
        <w:rPr>
          <w:rFonts w:cstheme="minorHAnsi"/>
        </w:rPr>
        <w:t>C</w:t>
      </w:r>
      <w:r w:rsidR="00F75FBA">
        <w:rPr>
          <w:rFonts w:cstheme="minorHAnsi"/>
        </w:rPr>
        <w:t>T</w:t>
      </w:r>
      <w:r w:rsidR="00983EB5" w:rsidRPr="008E25F4">
        <w:rPr>
          <w:rFonts w:cstheme="minorHAnsi"/>
        </w:rPr>
        <w:t xml:space="preserve"> qu’il administre. </w:t>
      </w:r>
      <w:r w:rsidR="0054398F" w:rsidRPr="008E25F4">
        <w:rPr>
          <w:rFonts w:cstheme="minorHAnsi"/>
        </w:rPr>
        <w:t>L’élu serait lié par un contrat social et psychologique avec ses administrés</w:t>
      </w:r>
      <w:r w:rsidR="00FC096D" w:rsidRPr="008E25F4">
        <w:rPr>
          <w:rFonts w:cstheme="minorHAnsi"/>
        </w:rPr>
        <w:t>, dans lequel il se sent obligé de poursuivre leurs intérêts (</w:t>
      </w:r>
      <w:bookmarkStart w:id="26" w:name="_Hlk35440282"/>
      <w:r w:rsidR="00FC096D" w:rsidRPr="008E25F4">
        <w:rPr>
          <w:rFonts w:cstheme="minorHAnsi"/>
        </w:rPr>
        <w:t>Hernandez 2012</w:t>
      </w:r>
      <w:bookmarkEnd w:id="26"/>
      <w:r w:rsidR="00066B34" w:rsidRPr="008E25F4">
        <w:rPr>
          <w:rFonts w:cstheme="minorHAnsi"/>
        </w:rPr>
        <w:t>, p 173</w:t>
      </w:r>
      <w:r w:rsidR="00FC096D" w:rsidRPr="008E25F4">
        <w:rPr>
          <w:rFonts w:cstheme="minorHAnsi"/>
        </w:rPr>
        <w:t xml:space="preserve">). </w:t>
      </w:r>
      <w:r w:rsidR="001B6DD6" w:rsidRPr="008E25F4">
        <w:rPr>
          <w:rFonts w:cstheme="minorHAnsi"/>
        </w:rPr>
        <w:t xml:space="preserve">Son utilité obtenue d’un </w:t>
      </w:r>
      <w:r w:rsidR="00E16D2C" w:rsidRPr="008E25F4">
        <w:rPr>
          <w:rFonts w:cstheme="minorHAnsi"/>
        </w:rPr>
        <w:t xml:space="preserve">comportement conforme aux intérêts des citoyens (les principaux) </w:t>
      </w:r>
      <w:r w:rsidR="001B6DD6" w:rsidRPr="008E25F4">
        <w:rPr>
          <w:rFonts w:cstheme="minorHAnsi"/>
        </w:rPr>
        <w:t>est supérieure à celle</w:t>
      </w:r>
      <w:r w:rsidR="00E16D2C" w:rsidRPr="008E25F4">
        <w:rPr>
          <w:rFonts w:cstheme="minorHAnsi"/>
        </w:rPr>
        <w:t xml:space="preserve"> résultant d’un comportement individualiste (Davis </w:t>
      </w:r>
      <w:r w:rsidR="00E16D2C" w:rsidRPr="008E25F4">
        <w:rPr>
          <w:rFonts w:cstheme="minorHAnsi"/>
          <w:i/>
        </w:rPr>
        <w:t>et al</w:t>
      </w:r>
      <w:r w:rsidR="00E16D2C" w:rsidRPr="008E25F4">
        <w:rPr>
          <w:rFonts w:cstheme="minorHAnsi"/>
        </w:rPr>
        <w:t xml:space="preserve"> 1997</w:t>
      </w:r>
      <w:r w:rsidR="00B56A60" w:rsidRPr="008E25F4">
        <w:rPr>
          <w:rFonts w:cstheme="minorHAnsi"/>
        </w:rPr>
        <w:t>a</w:t>
      </w:r>
      <w:r w:rsidR="00066B34" w:rsidRPr="008E25F4">
        <w:rPr>
          <w:rFonts w:cstheme="minorHAnsi"/>
        </w:rPr>
        <w:t>, p 25</w:t>
      </w:r>
      <w:r w:rsidR="00E16D2C" w:rsidRPr="008E25F4">
        <w:rPr>
          <w:rFonts w:cstheme="minorHAnsi"/>
        </w:rPr>
        <w:t>).</w:t>
      </w:r>
      <w:r w:rsidR="001B6DD6" w:rsidRPr="008E25F4">
        <w:rPr>
          <w:rFonts w:cstheme="minorHAnsi"/>
        </w:rPr>
        <w:t xml:space="preserve"> </w:t>
      </w:r>
      <w:r w:rsidR="00983EB5" w:rsidRPr="008E25F4">
        <w:rPr>
          <w:rFonts w:cstheme="minorHAnsi"/>
        </w:rPr>
        <w:t>Les considérations contextuelles sont relatives à la philosophie du management et à la culture.</w:t>
      </w:r>
      <w:r w:rsidR="00BB70B4" w:rsidRPr="008E25F4">
        <w:rPr>
          <w:rFonts w:cstheme="minorHAnsi"/>
        </w:rPr>
        <w:t xml:space="preserve"> </w:t>
      </w:r>
      <w:r w:rsidR="00D353E0" w:rsidRPr="008E25F4">
        <w:rPr>
          <w:rFonts w:cstheme="minorHAnsi"/>
        </w:rPr>
        <w:t>Deux</w:t>
      </w:r>
      <w:r w:rsidR="000013C3" w:rsidRPr="008E25F4">
        <w:rPr>
          <w:rFonts w:cstheme="minorHAnsi"/>
        </w:rPr>
        <w:t xml:space="preserve"> </w:t>
      </w:r>
      <w:r w:rsidR="00D353E0" w:rsidRPr="008E25F4">
        <w:rPr>
          <w:rFonts w:cstheme="minorHAnsi"/>
        </w:rPr>
        <w:t>système</w:t>
      </w:r>
      <w:r w:rsidR="000013C3" w:rsidRPr="008E25F4">
        <w:rPr>
          <w:rFonts w:cstheme="minorHAnsi"/>
        </w:rPr>
        <w:t>s</w:t>
      </w:r>
      <w:r w:rsidR="00D353E0" w:rsidRPr="008E25F4">
        <w:rPr>
          <w:rFonts w:cstheme="minorHAnsi"/>
        </w:rPr>
        <w:t xml:space="preserve"> de management</w:t>
      </w:r>
      <w:r w:rsidR="002B2DB0" w:rsidRPr="008E25F4">
        <w:rPr>
          <w:rFonts w:cstheme="minorHAnsi"/>
        </w:rPr>
        <w:t xml:space="preserve"> des agent</w:t>
      </w:r>
      <w:r w:rsidR="009C38E0" w:rsidRPr="008E25F4">
        <w:rPr>
          <w:rFonts w:cstheme="minorHAnsi"/>
        </w:rPr>
        <w:t>s s’</w:t>
      </w:r>
      <w:r w:rsidR="00CA127E" w:rsidRPr="008E25F4">
        <w:rPr>
          <w:rFonts w:cstheme="minorHAnsi"/>
        </w:rPr>
        <w:t>opp</w:t>
      </w:r>
      <w:r w:rsidR="002B2DB0" w:rsidRPr="008E25F4">
        <w:rPr>
          <w:rFonts w:cstheme="minorHAnsi"/>
        </w:rPr>
        <w:t>osent : un management de contrôle orienté et un management par l</w:t>
      </w:r>
      <w:r w:rsidR="007F07CA" w:rsidRPr="008E25F4">
        <w:rPr>
          <w:rFonts w:cstheme="minorHAnsi"/>
        </w:rPr>
        <w:t>’</w:t>
      </w:r>
      <w:r w:rsidR="002B2DB0" w:rsidRPr="008E25F4">
        <w:rPr>
          <w:rFonts w:cstheme="minorHAnsi"/>
        </w:rPr>
        <w:t xml:space="preserve">auto-contrôle. Le premier est approprié lorsque la recherche de la productivité prime ainsi que la minimisation des coûts de contrôle à court terme, en revanche le second système de contrôle </w:t>
      </w:r>
      <w:r w:rsidR="00CA127E" w:rsidRPr="008E25F4">
        <w:rPr>
          <w:rFonts w:cstheme="minorHAnsi"/>
        </w:rPr>
        <w:t xml:space="preserve">est plus adapté aux situations instables, de vulnérabilité, dans lesquelles il est important de faire confiance aux agents, conformément à la théorie de l’intendance. Les élus ont été portés au pouvoir par le vote des citoyens, témoin de leur confiance.  Le contrôle qu’effectuent les administrés sur les actions des élus se réalise au mieux une fois par an à la publication du compte de gestion, au pire en fin de mandat par </w:t>
      </w:r>
      <w:r w:rsidR="00D353E0" w:rsidRPr="008E25F4">
        <w:rPr>
          <w:rFonts w:cstheme="minorHAnsi"/>
        </w:rPr>
        <w:t xml:space="preserve">le bilan de leurs réalisations économiques et sociales, il s’approche davantage du contrôle par implication personnelle que du contrôle orienté, ne serait-ce que parce que beaucoup d’élus aspirent à </w:t>
      </w:r>
      <w:r w:rsidR="007F07CA" w:rsidRPr="008E25F4">
        <w:rPr>
          <w:rFonts w:cstheme="minorHAnsi"/>
        </w:rPr>
        <w:t>être reconduits dans leur fonction</w:t>
      </w:r>
      <w:r w:rsidR="00D353E0" w:rsidRPr="008E25F4">
        <w:rPr>
          <w:rFonts w:cstheme="minorHAnsi"/>
        </w:rPr>
        <w:t xml:space="preserve">. </w:t>
      </w:r>
      <w:r w:rsidR="00521805" w:rsidRPr="008E25F4">
        <w:rPr>
          <w:rFonts w:cstheme="minorHAnsi"/>
        </w:rPr>
        <w:t>Quant à la culture, elle est constituée notamment du degré d’acceptation par les membres d’</w:t>
      </w:r>
      <w:r w:rsidR="003A100D" w:rsidRPr="008E25F4">
        <w:rPr>
          <w:rFonts w:cstheme="minorHAnsi"/>
        </w:rPr>
        <w:t>une organisation des différences dans la</w:t>
      </w:r>
      <w:r w:rsidR="00521805" w:rsidRPr="008E25F4">
        <w:rPr>
          <w:rFonts w:cstheme="minorHAnsi"/>
        </w:rPr>
        <w:t xml:space="preserve"> répartition du pouvoir (</w:t>
      </w:r>
      <w:bookmarkStart w:id="27" w:name="_Hlk35440314"/>
      <w:r w:rsidR="00521805" w:rsidRPr="008E25F4">
        <w:rPr>
          <w:rFonts w:cstheme="minorHAnsi"/>
        </w:rPr>
        <w:t>Hofstede 199</w:t>
      </w:r>
      <w:bookmarkEnd w:id="27"/>
      <w:r w:rsidR="009C52A2" w:rsidRPr="008E25F4">
        <w:rPr>
          <w:rFonts w:cstheme="minorHAnsi"/>
        </w:rPr>
        <w:t>3, p 89</w:t>
      </w:r>
      <w:r w:rsidR="00521805" w:rsidRPr="008E25F4">
        <w:rPr>
          <w:rFonts w:cstheme="minorHAnsi"/>
        </w:rPr>
        <w:t xml:space="preserve">). </w:t>
      </w:r>
      <w:r w:rsidR="003A100D" w:rsidRPr="008E25F4">
        <w:rPr>
          <w:rFonts w:cstheme="minorHAnsi"/>
        </w:rPr>
        <w:t>Les relations d’intendance ont tendance à exister dans les organisations dans lesquelles les écarts de pouvoir sont faibles, c’est-à-dire dans lesque</w:t>
      </w:r>
      <w:r w:rsidR="003C108B" w:rsidRPr="008E25F4">
        <w:rPr>
          <w:rFonts w:cstheme="minorHAnsi"/>
        </w:rPr>
        <w:t>lles il y a peu d’inégalités</w:t>
      </w:r>
      <w:r w:rsidR="003A100D" w:rsidRPr="008E25F4">
        <w:rPr>
          <w:rFonts w:cstheme="minorHAnsi"/>
        </w:rPr>
        <w:t xml:space="preserve"> et où l’on encourage l’indépendance des membres à faible pouvoir. </w:t>
      </w:r>
      <w:r w:rsidR="00FD5118" w:rsidRPr="008E25F4">
        <w:rPr>
          <w:rFonts w:cstheme="minorHAnsi"/>
        </w:rPr>
        <w:t>Le développement de la démocratie participative et de l’accès à l’information dans l</w:t>
      </w:r>
      <w:r w:rsidR="00431E4B" w:rsidRPr="008E25F4">
        <w:rPr>
          <w:rFonts w:cstheme="minorHAnsi"/>
        </w:rPr>
        <w:t xml:space="preserve">es </w:t>
      </w:r>
      <w:r w:rsidR="008B4EA7" w:rsidRPr="008E25F4">
        <w:rPr>
          <w:rFonts w:cstheme="minorHAnsi"/>
        </w:rPr>
        <w:t>C</w:t>
      </w:r>
      <w:r w:rsidR="00190B40" w:rsidRPr="008E25F4">
        <w:rPr>
          <w:rFonts w:cstheme="minorHAnsi"/>
        </w:rPr>
        <w:t>T</w:t>
      </w:r>
      <w:r w:rsidR="00431E4B" w:rsidRPr="008E25F4">
        <w:rPr>
          <w:rFonts w:cstheme="minorHAnsi"/>
        </w:rPr>
        <w:t xml:space="preserve"> </w:t>
      </w:r>
      <w:r w:rsidR="00131644" w:rsidRPr="008E25F4">
        <w:rPr>
          <w:rFonts w:cstheme="minorHAnsi"/>
        </w:rPr>
        <w:t xml:space="preserve">déjà évoquée </w:t>
      </w:r>
      <w:r w:rsidR="00431E4B" w:rsidRPr="008E25F4">
        <w:rPr>
          <w:rFonts w:cstheme="minorHAnsi"/>
        </w:rPr>
        <w:t>peut</w:t>
      </w:r>
      <w:r w:rsidR="00FD5118" w:rsidRPr="008E25F4">
        <w:rPr>
          <w:rFonts w:cstheme="minorHAnsi"/>
        </w:rPr>
        <w:t xml:space="preserve"> contribuer à réduire l’indépendance et le pouvoir des </w:t>
      </w:r>
      <w:r w:rsidR="0014590F" w:rsidRPr="008E25F4">
        <w:rPr>
          <w:rFonts w:cstheme="minorHAnsi"/>
        </w:rPr>
        <w:t xml:space="preserve">élus par </w:t>
      </w:r>
      <w:r w:rsidR="00431E4B" w:rsidRPr="008E25F4">
        <w:rPr>
          <w:rFonts w:cstheme="minorHAnsi"/>
        </w:rPr>
        <w:t>rapport à leurs administrés.</w:t>
      </w:r>
    </w:p>
    <w:p w14:paraId="12A3CAF9" w14:textId="41BAD6D4" w:rsidR="006256BE" w:rsidRPr="008E25F4" w:rsidRDefault="004C0742" w:rsidP="00932E08">
      <w:pPr>
        <w:suppressAutoHyphens/>
        <w:jc w:val="both"/>
        <w:rPr>
          <w:rFonts w:cstheme="minorHAnsi"/>
        </w:rPr>
      </w:pPr>
      <w:r w:rsidRPr="008E25F4">
        <w:rPr>
          <w:rFonts w:cstheme="minorHAnsi"/>
        </w:rPr>
        <w:t xml:space="preserve">L’entrée dans la certification des comptes des </w:t>
      </w:r>
      <w:r w:rsidR="008B4EA7" w:rsidRPr="008E25F4">
        <w:rPr>
          <w:rFonts w:cstheme="minorHAnsi"/>
        </w:rPr>
        <w:t>C</w:t>
      </w:r>
      <w:r w:rsidR="004D4731" w:rsidRPr="008E25F4">
        <w:rPr>
          <w:rFonts w:cstheme="minorHAnsi"/>
        </w:rPr>
        <w:t>T</w:t>
      </w:r>
      <w:r w:rsidRPr="008E25F4">
        <w:rPr>
          <w:rFonts w:cstheme="minorHAnsi"/>
        </w:rPr>
        <w:t xml:space="preserve"> engendre le passage à une nouvelle norme comptable, M57, avec notamment l’apparition du compte financier unique (CFU) qui va se substituer au Compte Administratif et au Compte de Gestion. Il est composé d’informations générales (données statistiques et fiscales), de l’exécution budgétaire, des états financiers (résultat, bilan, annexe) et d’états annexés (présentation croisée par nature/par fonction du budget…). Il apparait comme un outil de transparence financière et de lisibilité à destination du citoyen, moins complexe en raison de l’unicité du Compte, il évitera les redondances (l’exécution budgétaire apparait dans le compte administratif et dans le compte de gestion) permettant d’accroitre l’accessibilité de l’</w:t>
      </w:r>
      <w:proofErr w:type="spellStart"/>
      <w:r w:rsidRPr="008E25F4">
        <w:rPr>
          <w:rFonts w:cstheme="minorHAnsi"/>
        </w:rPr>
        <w:t>administré-e</w:t>
      </w:r>
      <w:proofErr w:type="spellEnd"/>
      <w:r w:rsidRPr="008E25F4">
        <w:rPr>
          <w:rFonts w:cstheme="minorHAnsi"/>
        </w:rPr>
        <w:t xml:space="preserve"> aux finances locales. Souvent seul le compte administratif est présenté et expliqué par les élus, le bilan l’est rarement et reste un document établi par le comptable pour comptables, la logique budgétaire l’emporte sur la logique patrimoniale</w:t>
      </w:r>
      <w:r w:rsidR="00AD75EF" w:rsidRPr="008E25F4">
        <w:rPr>
          <w:rFonts w:cstheme="minorHAnsi"/>
        </w:rPr>
        <w:t xml:space="preserve"> (</w:t>
      </w:r>
      <w:r w:rsidR="00BB0EE1" w:rsidRPr="008E25F4">
        <w:rPr>
          <w:rFonts w:cstheme="minorHAnsi"/>
        </w:rPr>
        <w:t>Lande et Rocher 2008</w:t>
      </w:r>
      <w:r w:rsidR="001C0F97" w:rsidRPr="008E25F4">
        <w:rPr>
          <w:rFonts w:cstheme="minorHAnsi"/>
        </w:rPr>
        <w:t>, p 152</w:t>
      </w:r>
      <w:r w:rsidR="00BB0EE1" w:rsidRPr="008E25F4">
        <w:rPr>
          <w:rFonts w:cstheme="minorHAnsi"/>
        </w:rPr>
        <w:t>)</w:t>
      </w:r>
      <w:r w:rsidR="00580A3F" w:rsidRPr="008E25F4">
        <w:rPr>
          <w:rFonts w:cstheme="minorHAnsi"/>
        </w:rPr>
        <w:t xml:space="preserve">, en effet </w:t>
      </w:r>
      <w:r w:rsidR="00BB400D" w:rsidRPr="008E25F4">
        <w:rPr>
          <w:rFonts w:cstheme="minorHAnsi"/>
        </w:rPr>
        <w:t xml:space="preserve">on déplore peu d’intérêt pour les opérations liées aux principes prudentiels (amortissements, </w:t>
      </w:r>
      <w:r w:rsidR="00A35D96">
        <w:rPr>
          <w:rFonts w:cstheme="minorHAnsi"/>
        </w:rPr>
        <w:t xml:space="preserve">dépréciations, </w:t>
      </w:r>
      <w:r w:rsidR="00BB400D" w:rsidRPr="008E25F4">
        <w:rPr>
          <w:rFonts w:cstheme="minorHAnsi"/>
        </w:rPr>
        <w:t>provisions) considérées comme des préoccupations de comptables voire des contraintes technocratiques (Gérard 2018</w:t>
      </w:r>
      <w:r w:rsidR="009C52A2" w:rsidRPr="008E25F4">
        <w:rPr>
          <w:rFonts w:cstheme="minorHAnsi"/>
        </w:rPr>
        <w:t>, p</w:t>
      </w:r>
      <w:r w:rsidR="00186E90" w:rsidRPr="008E25F4">
        <w:rPr>
          <w:rFonts w:cstheme="minorHAnsi"/>
        </w:rPr>
        <w:t xml:space="preserve"> 145</w:t>
      </w:r>
      <w:r w:rsidR="00BB400D" w:rsidRPr="008E25F4">
        <w:rPr>
          <w:rFonts w:cstheme="minorHAnsi"/>
        </w:rPr>
        <w:t xml:space="preserve">). </w:t>
      </w:r>
      <w:r w:rsidR="007E5049" w:rsidRPr="008E25F4">
        <w:rPr>
          <w:rFonts w:cstheme="minorHAnsi"/>
        </w:rPr>
        <w:t>Par ailleurs, le rapport du certificateur sera destiné à l’exécutif local puis à l’assemblée délibérante de l’organisme public local à l’occasion de l’approbation des comptes de l’exercice clos. I</w:t>
      </w:r>
      <w:r w:rsidR="00224FC5">
        <w:rPr>
          <w:rFonts w:cstheme="minorHAnsi"/>
        </w:rPr>
        <w:t>l</w:t>
      </w:r>
      <w:r w:rsidR="007E5049" w:rsidRPr="008E25F4">
        <w:rPr>
          <w:rFonts w:cstheme="minorHAnsi"/>
        </w:rPr>
        <w:t xml:space="preserve"> intéresse en priorité l'exécutif local et ses services pour gérer la </w:t>
      </w:r>
      <w:r w:rsidR="008B4EA7" w:rsidRPr="008E25F4">
        <w:rPr>
          <w:rFonts w:cstheme="minorHAnsi"/>
        </w:rPr>
        <w:t>C</w:t>
      </w:r>
      <w:r w:rsidR="00A35D96">
        <w:rPr>
          <w:rFonts w:cstheme="minorHAnsi"/>
        </w:rPr>
        <w:t>T</w:t>
      </w:r>
      <w:r w:rsidR="007E5049" w:rsidRPr="008E25F4">
        <w:rPr>
          <w:rFonts w:cstheme="minorHAnsi"/>
        </w:rPr>
        <w:t xml:space="preserve"> concernée, les partenaires de celle-ci (financeurs par emprunts et subventions</w:t>
      </w:r>
      <w:r w:rsidR="000A2B82" w:rsidRPr="008E25F4">
        <w:rPr>
          <w:rFonts w:cstheme="minorHAnsi"/>
        </w:rPr>
        <w:t>, entreprises susceptibles de s’</w:t>
      </w:r>
      <w:r w:rsidR="00A35D96">
        <w:rPr>
          <w:rFonts w:cstheme="minorHAnsi"/>
        </w:rPr>
        <w:t xml:space="preserve">y </w:t>
      </w:r>
      <w:r w:rsidR="000A2B82" w:rsidRPr="008E25F4">
        <w:rPr>
          <w:rFonts w:cstheme="minorHAnsi"/>
        </w:rPr>
        <w:t>installer</w:t>
      </w:r>
      <w:r w:rsidR="007E5049" w:rsidRPr="008E25F4">
        <w:rPr>
          <w:rFonts w:cstheme="minorHAnsi"/>
        </w:rPr>
        <w:t xml:space="preserve">) mais aussi ses </w:t>
      </w:r>
      <w:r w:rsidR="007E5049" w:rsidRPr="008E25F4">
        <w:rPr>
          <w:rFonts w:cstheme="minorHAnsi"/>
        </w:rPr>
        <w:lastRenderedPageBreak/>
        <w:t>administrés auxquels des comptes doivent être rendus sur l'utilisation des impôts locaux qu'ils payent. Le CFU et le rapport d’audit seront des outils de réduction de l’asymétrie informationnelle entre élus et citoyens.</w:t>
      </w:r>
      <w:r w:rsidR="006155C6" w:rsidRPr="008E25F4">
        <w:rPr>
          <w:rFonts w:cstheme="minorHAnsi"/>
        </w:rPr>
        <w:t xml:space="preserve"> </w:t>
      </w:r>
    </w:p>
    <w:p w14:paraId="30AE6B41" w14:textId="7662A9BC" w:rsidR="002D701D" w:rsidRPr="008E25F4" w:rsidRDefault="002D701D" w:rsidP="00932E08">
      <w:pPr>
        <w:suppressAutoHyphens/>
        <w:jc w:val="both"/>
        <w:rPr>
          <w:rFonts w:cstheme="minorHAnsi"/>
        </w:rPr>
      </w:pPr>
      <w:r w:rsidRPr="008E25F4">
        <w:rPr>
          <w:rFonts w:cstheme="minorHAnsi"/>
        </w:rPr>
        <w:t xml:space="preserve">Nous avons défini en introduction les parties prenantes principales des </w:t>
      </w:r>
      <w:r w:rsidR="008B4EA7" w:rsidRPr="008E25F4">
        <w:rPr>
          <w:rFonts w:cstheme="minorHAnsi"/>
        </w:rPr>
        <w:t>C</w:t>
      </w:r>
      <w:r w:rsidR="004D4731" w:rsidRPr="008E25F4">
        <w:rPr>
          <w:rFonts w:cstheme="minorHAnsi"/>
        </w:rPr>
        <w:t>T</w:t>
      </w:r>
      <w:r w:rsidRPr="008E25F4">
        <w:rPr>
          <w:rFonts w:cstheme="minorHAnsi"/>
        </w:rPr>
        <w:t>, le comptable public en est une. Si ce dernier entretient peu de relations directes avec les citoyens, sa fonction nécessite un lien non négligeable avec l’ordonnateur et le personnel de la direction comptable et financière de ces organisations publiques.</w:t>
      </w:r>
      <w:r w:rsidR="00E045A9" w:rsidRPr="008E25F4">
        <w:rPr>
          <w:rFonts w:cstheme="minorHAnsi"/>
        </w:rPr>
        <w:t xml:space="preserve"> </w:t>
      </w:r>
      <w:r w:rsidR="00B67602" w:rsidRPr="008E25F4">
        <w:rPr>
          <w:rFonts w:cstheme="minorHAnsi"/>
        </w:rPr>
        <w:t xml:space="preserve">Nous nous interrogeons sur la nature de ces liens et dans quelles mesures l’introduction de la certification des comptes peut modifier ces relations qui constituent une grande partie de la gouvernance au sein de ces organisations et </w:t>
      </w:r>
      <w:r w:rsidR="00A43875">
        <w:rPr>
          <w:rFonts w:cstheme="minorHAnsi"/>
        </w:rPr>
        <w:t>selon</w:t>
      </w:r>
      <w:r w:rsidR="00B67602" w:rsidRPr="008E25F4">
        <w:rPr>
          <w:rFonts w:cstheme="minorHAnsi"/>
        </w:rPr>
        <w:t xml:space="preserve"> l’acception que nous lui avons donnée. </w:t>
      </w:r>
    </w:p>
    <w:p w14:paraId="2E556A51" w14:textId="77777777" w:rsidR="00A34B26" w:rsidRPr="008E25F4" w:rsidRDefault="00A34B26" w:rsidP="00932E08">
      <w:pPr>
        <w:suppressAutoHyphens/>
        <w:jc w:val="both"/>
        <w:rPr>
          <w:rFonts w:cstheme="minorHAnsi"/>
          <w:u w:val="single"/>
        </w:rPr>
      </w:pPr>
    </w:p>
    <w:p w14:paraId="1DDC66C4" w14:textId="2DB9E66F" w:rsidR="009F717F" w:rsidRPr="00F8392F" w:rsidRDefault="009C38E0" w:rsidP="00471DB0">
      <w:pPr>
        <w:pStyle w:val="Style1"/>
        <w:keepNext w:val="0"/>
        <w:keepLines w:val="0"/>
        <w:numPr>
          <w:ilvl w:val="0"/>
          <w:numId w:val="12"/>
        </w:numPr>
        <w:suppressAutoHyphens/>
        <w:spacing w:before="360" w:after="240"/>
        <w:ind w:left="357" w:hanging="357"/>
        <w:rPr>
          <w:rFonts w:asciiTheme="minorHAnsi" w:hAnsiTheme="minorHAnsi" w:cstheme="minorHAnsi"/>
          <w:b/>
          <w:bCs/>
          <w:sz w:val="24"/>
          <w:szCs w:val="24"/>
          <w:u w:val="none"/>
        </w:rPr>
      </w:pPr>
      <w:r w:rsidRPr="00F8392F">
        <w:rPr>
          <w:rFonts w:asciiTheme="minorHAnsi" w:hAnsiTheme="minorHAnsi" w:cstheme="minorHAnsi"/>
          <w:b/>
          <w:bCs/>
          <w:sz w:val="24"/>
          <w:szCs w:val="24"/>
          <w:u w:val="none"/>
        </w:rPr>
        <w:t xml:space="preserve">La certification des comptes </w:t>
      </w:r>
      <w:r w:rsidR="00582CC2" w:rsidRPr="00F8392F">
        <w:rPr>
          <w:rFonts w:asciiTheme="minorHAnsi" w:hAnsiTheme="minorHAnsi" w:cstheme="minorHAnsi"/>
          <w:b/>
          <w:bCs/>
          <w:sz w:val="24"/>
          <w:szCs w:val="24"/>
          <w:u w:val="none"/>
        </w:rPr>
        <w:t>induit un changement de gouvernance dans la r</w:t>
      </w:r>
      <w:r w:rsidR="008108D9" w:rsidRPr="00F8392F">
        <w:rPr>
          <w:rFonts w:asciiTheme="minorHAnsi" w:hAnsiTheme="minorHAnsi" w:cstheme="minorHAnsi"/>
          <w:b/>
          <w:bCs/>
          <w:sz w:val="24"/>
          <w:szCs w:val="24"/>
          <w:u w:val="none"/>
        </w:rPr>
        <w:t>elation ordonnateur-comptable public </w:t>
      </w:r>
    </w:p>
    <w:p w14:paraId="2B5F2FAB" w14:textId="36549E47" w:rsidR="004B734B" w:rsidRPr="008E25F4" w:rsidRDefault="004B734B" w:rsidP="00932E08">
      <w:pPr>
        <w:pStyle w:val="Notedebasdepage"/>
        <w:suppressAutoHyphens/>
        <w:spacing w:after="120"/>
        <w:jc w:val="both"/>
        <w:rPr>
          <w:rFonts w:cstheme="minorHAnsi"/>
          <w:sz w:val="22"/>
          <w:szCs w:val="22"/>
        </w:rPr>
      </w:pPr>
      <w:r w:rsidRPr="008E25F4">
        <w:rPr>
          <w:rFonts w:cstheme="minorHAnsi"/>
          <w:sz w:val="22"/>
          <w:szCs w:val="22"/>
        </w:rPr>
        <w:t xml:space="preserve">Les comptables publics sont des agents de droit public ayant la charge exclusive de manier les fonds et de tenir les comptes des personnes morales publiques. Ils sont habilités à prendre en charge les ordres de payer, les dépenses sans ordonnancement, les ordres de recouvrer ainsi que les opérations de trésorerie émanant de l’ordonnateur </w:t>
      </w:r>
      <w:r w:rsidR="00131644" w:rsidRPr="008E25F4">
        <w:rPr>
          <w:rFonts w:cstheme="minorHAnsi"/>
          <w:sz w:val="22"/>
          <w:szCs w:val="22"/>
        </w:rPr>
        <w:t>habilité</w:t>
      </w:r>
      <w:r w:rsidRPr="008E25F4">
        <w:rPr>
          <w:rFonts w:cstheme="minorHAnsi"/>
          <w:sz w:val="22"/>
          <w:szCs w:val="22"/>
        </w:rPr>
        <w:t xml:space="preserve">. </w:t>
      </w:r>
      <w:r w:rsidRPr="008E25F4">
        <w:rPr>
          <w:rFonts w:eastAsia="Times New Roman" w:cstheme="minorHAnsi"/>
          <w:sz w:val="22"/>
          <w:szCs w:val="22"/>
          <w:lang w:eastAsia="fr-FR"/>
        </w:rPr>
        <w:t>Dans le poste comptable qu’il dirige, le comptable public est seul chargé de la tenue de la comptabilité générale, de la comptabilité budgétaire</w:t>
      </w:r>
      <w:r w:rsidR="00335C44" w:rsidRPr="008E25F4">
        <w:rPr>
          <w:rFonts w:eastAsia="Times New Roman" w:cstheme="minorHAnsi"/>
          <w:sz w:val="22"/>
          <w:szCs w:val="22"/>
          <w:lang w:eastAsia="fr-FR"/>
        </w:rPr>
        <w:t xml:space="preserve"> qui r</w:t>
      </w:r>
      <w:r w:rsidR="00335C44" w:rsidRPr="008E25F4">
        <w:rPr>
          <w:rFonts w:cstheme="minorHAnsi"/>
          <w:sz w:val="22"/>
          <w:szCs w:val="22"/>
        </w:rPr>
        <w:t xml:space="preserve">etrace l’exécution du budget dans des chapitres budgétaires </w:t>
      </w:r>
      <w:r w:rsidRPr="008E25F4">
        <w:rPr>
          <w:rFonts w:eastAsia="Times New Roman" w:cstheme="minorHAnsi"/>
          <w:sz w:val="22"/>
          <w:szCs w:val="22"/>
          <w:lang w:eastAsia="fr-FR"/>
        </w:rPr>
        <w:t>et de la comptabilisation des valeurs inactives</w:t>
      </w:r>
      <w:r w:rsidR="001722D3" w:rsidRPr="008E25F4">
        <w:rPr>
          <w:rFonts w:eastAsia="Times New Roman" w:cstheme="minorHAnsi"/>
          <w:sz w:val="22"/>
          <w:szCs w:val="22"/>
          <w:lang w:eastAsia="fr-FR"/>
        </w:rPr>
        <w:t xml:space="preserve"> (</w:t>
      </w:r>
      <w:r w:rsidR="001722D3" w:rsidRPr="008E25F4">
        <w:rPr>
          <w:rFonts w:cstheme="minorHAnsi"/>
          <w:sz w:val="22"/>
          <w:szCs w:val="22"/>
        </w:rPr>
        <w:t>exemple : tickets d’entrée à la piscine municipale).</w:t>
      </w:r>
      <w:r w:rsidRPr="008E25F4">
        <w:rPr>
          <w:rFonts w:eastAsia="Times New Roman" w:cstheme="minorHAnsi"/>
          <w:sz w:val="22"/>
          <w:szCs w:val="22"/>
          <w:lang w:eastAsia="fr-FR"/>
        </w:rPr>
        <w:t xml:space="preserve"> Il a en charge l’établissement du Compte de Gestion qui comporte l’exécution du budget, la balance des comptes, le résultat, le bilan et l’état des valeurs inactives. </w:t>
      </w:r>
      <w:r w:rsidRPr="008E25F4">
        <w:rPr>
          <w:rFonts w:cstheme="minorHAnsi"/>
          <w:sz w:val="22"/>
          <w:szCs w:val="22"/>
        </w:rPr>
        <w:t>Les comptables publics so</w:t>
      </w:r>
      <w:r w:rsidR="002B47EA" w:rsidRPr="008E25F4">
        <w:rPr>
          <w:rFonts w:cstheme="minorHAnsi"/>
          <w:sz w:val="22"/>
          <w:szCs w:val="22"/>
        </w:rPr>
        <w:t>nt nommés par le ministre</w:t>
      </w:r>
      <w:r w:rsidRPr="008E25F4">
        <w:rPr>
          <w:rFonts w:cstheme="minorHAnsi"/>
          <w:sz w:val="22"/>
          <w:szCs w:val="22"/>
        </w:rPr>
        <w:t xml:space="preserve"> du budget. À l’occasion de leur première installation, ils</w:t>
      </w:r>
      <w:r w:rsidR="00993ADB" w:rsidRPr="008E25F4">
        <w:rPr>
          <w:rFonts w:cstheme="minorHAnsi"/>
          <w:sz w:val="22"/>
          <w:szCs w:val="22"/>
        </w:rPr>
        <w:t xml:space="preserve"> prêtent serment </w:t>
      </w:r>
      <w:r w:rsidRPr="008E25F4">
        <w:rPr>
          <w:rFonts w:cstheme="minorHAnsi"/>
          <w:sz w:val="22"/>
          <w:szCs w:val="22"/>
        </w:rPr>
        <w:t>devant la juridiction fin</w:t>
      </w:r>
      <w:r w:rsidR="00993ADB" w:rsidRPr="008E25F4">
        <w:rPr>
          <w:rFonts w:cstheme="minorHAnsi"/>
          <w:sz w:val="22"/>
          <w:szCs w:val="22"/>
        </w:rPr>
        <w:t>ancière</w:t>
      </w:r>
      <w:r w:rsidRPr="008E25F4">
        <w:rPr>
          <w:rFonts w:cstheme="minorHAnsi"/>
          <w:sz w:val="22"/>
          <w:szCs w:val="22"/>
        </w:rPr>
        <w:t>. La publication de l’acte de nomination d’un comptable public vaut accréditation de ce dernier auprès d’un ou de plusieurs ordonnateurs</w:t>
      </w:r>
      <w:r w:rsidR="006E42DC" w:rsidRPr="008E25F4">
        <w:rPr>
          <w:rFonts w:cstheme="minorHAnsi"/>
          <w:sz w:val="22"/>
          <w:szCs w:val="22"/>
        </w:rPr>
        <w:t>, écartant tout mécanisme de cooptation entre ces parties prenantes.</w:t>
      </w:r>
    </w:p>
    <w:p w14:paraId="7DB46B04" w14:textId="77777777" w:rsidR="004B734B" w:rsidRPr="008E25F4" w:rsidRDefault="004B734B" w:rsidP="00932E08">
      <w:pPr>
        <w:suppressAutoHyphens/>
        <w:jc w:val="both"/>
        <w:rPr>
          <w:rFonts w:eastAsia="Times New Roman" w:cstheme="minorHAnsi"/>
          <w:lang w:eastAsia="fr-FR"/>
        </w:rPr>
      </w:pPr>
      <w:r w:rsidRPr="008E25F4">
        <w:rPr>
          <w:rFonts w:eastAsia="Times New Roman" w:cstheme="minorHAnsi"/>
          <w:lang w:eastAsia="fr-FR"/>
        </w:rPr>
        <w:t xml:space="preserve">Les comptables publics sont personnellement et pécuniairement responsables des actes et contrôles qui leur incombent. </w:t>
      </w:r>
    </w:p>
    <w:p w14:paraId="0D7A65A1" w14:textId="42CDD4E3" w:rsidR="00121004" w:rsidRPr="008E25F4" w:rsidRDefault="00121004" w:rsidP="00932E08">
      <w:pPr>
        <w:suppressAutoHyphens/>
        <w:jc w:val="both"/>
        <w:rPr>
          <w:rFonts w:cstheme="minorHAnsi"/>
        </w:rPr>
      </w:pPr>
      <w:r w:rsidRPr="008E25F4">
        <w:rPr>
          <w:rFonts w:cstheme="minorHAnsi"/>
        </w:rPr>
        <w:t>L’organisation actuelle du système comptable public et le partage des responsabilités entre ordonnateur et comptable public</w:t>
      </w:r>
      <w:r w:rsidR="00446933" w:rsidRPr="008E25F4">
        <w:rPr>
          <w:rFonts w:cstheme="minorHAnsi"/>
        </w:rPr>
        <w:t xml:space="preserve"> peu</w:t>
      </w:r>
      <w:r w:rsidR="00471DB0">
        <w:rPr>
          <w:rFonts w:cstheme="minorHAnsi"/>
        </w:rPr>
        <w:t>vent</w:t>
      </w:r>
      <w:r w:rsidR="00446933" w:rsidRPr="008E25F4">
        <w:rPr>
          <w:rFonts w:cstheme="minorHAnsi"/>
        </w:rPr>
        <w:t xml:space="preserve"> </w:t>
      </w:r>
      <w:r w:rsidRPr="008E25F4">
        <w:rPr>
          <w:rFonts w:cstheme="minorHAnsi"/>
        </w:rPr>
        <w:t>correspond</w:t>
      </w:r>
      <w:r w:rsidR="00446933" w:rsidRPr="008E25F4">
        <w:rPr>
          <w:rFonts w:cstheme="minorHAnsi"/>
        </w:rPr>
        <w:t>re</w:t>
      </w:r>
      <w:r w:rsidRPr="008E25F4">
        <w:rPr>
          <w:rFonts w:cstheme="minorHAnsi"/>
        </w:rPr>
        <w:t xml:space="preserve"> au modèle d’agence avec quelques spécificités que nous allons évoquer</w:t>
      </w:r>
      <w:r w:rsidR="00471DB0">
        <w:rPr>
          <w:rFonts w:cstheme="minorHAnsi"/>
        </w:rPr>
        <w:t> ;</w:t>
      </w:r>
      <w:r w:rsidRPr="008E25F4">
        <w:rPr>
          <w:rFonts w:cstheme="minorHAnsi"/>
        </w:rPr>
        <w:t xml:space="preserve"> en revanche l’introduction de la certification des comptes, tant par la réforme comptable qu’elle induit que par ses exigences de procédures de contrôle interne </w:t>
      </w:r>
      <w:r w:rsidR="00617837" w:rsidRPr="008E25F4">
        <w:rPr>
          <w:rFonts w:cstheme="minorHAnsi"/>
        </w:rPr>
        <w:t>peut favoriser des relations d’intendance entre ordonnateur et comptable public, acteurs essentiels de la gouvernance des C</w:t>
      </w:r>
      <w:r w:rsidR="00446933" w:rsidRPr="008E25F4">
        <w:rPr>
          <w:rFonts w:cstheme="minorHAnsi"/>
        </w:rPr>
        <w:t>T</w:t>
      </w:r>
      <w:r w:rsidR="00617837" w:rsidRPr="008E25F4">
        <w:rPr>
          <w:rFonts w:cstheme="minorHAnsi"/>
        </w:rPr>
        <w:t>.</w:t>
      </w:r>
    </w:p>
    <w:p w14:paraId="2B9977A1" w14:textId="77777777" w:rsidR="004B734B" w:rsidRPr="008E25F4" w:rsidRDefault="004B734B" w:rsidP="00932E08">
      <w:pPr>
        <w:suppressAutoHyphens/>
        <w:rPr>
          <w:rFonts w:cstheme="minorHAnsi"/>
        </w:rPr>
      </w:pPr>
    </w:p>
    <w:p w14:paraId="398F206C" w14:textId="09136314" w:rsidR="007C14A2" w:rsidRPr="008E25F4" w:rsidRDefault="00F8392F" w:rsidP="00620E10">
      <w:pPr>
        <w:pStyle w:val="Style2"/>
        <w:suppressAutoHyphens/>
        <w:spacing w:before="360" w:beforeAutospacing="0" w:after="240" w:afterAutospacing="0"/>
        <w:rPr>
          <w:rFonts w:asciiTheme="minorHAnsi" w:hAnsiTheme="minorHAnsi" w:cstheme="minorHAnsi"/>
          <w:sz w:val="22"/>
          <w:szCs w:val="22"/>
        </w:rPr>
      </w:pPr>
      <w:r>
        <w:rPr>
          <w:rFonts w:asciiTheme="minorHAnsi" w:hAnsiTheme="minorHAnsi" w:cstheme="minorHAnsi"/>
          <w:sz w:val="22"/>
          <w:szCs w:val="22"/>
        </w:rPr>
        <w:t>2 .</w:t>
      </w:r>
      <w:r w:rsidR="00106098" w:rsidRPr="008E25F4">
        <w:rPr>
          <w:rFonts w:asciiTheme="minorHAnsi" w:hAnsiTheme="minorHAnsi" w:cstheme="minorHAnsi"/>
          <w:sz w:val="22"/>
          <w:szCs w:val="22"/>
        </w:rPr>
        <w:t>1.</w:t>
      </w:r>
      <w:r>
        <w:rPr>
          <w:rFonts w:asciiTheme="minorHAnsi" w:hAnsiTheme="minorHAnsi" w:cstheme="minorHAnsi"/>
          <w:sz w:val="22"/>
          <w:szCs w:val="22"/>
        </w:rPr>
        <w:t xml:space="preserve"> </w:t>
      </w:r>
      <w:r w:rsidR="00582CC2" w:rsidRPr="008E25F4">
        <w:rPr>
          <w:rFonts w:asciiTheme="minorHAnsi" w:hAnsiTheme="minorHAnsi" w:cstheme="minorHAnsi"/>
          <w:sz w:val="22"/>
          <w:szCs w:val="22"/>
        </w:rPr>
        <w:t>La dualité des comptabilités et le déséquilibre entre les responsabilités</w:t>
      </w:r>
      <w:r>
        <w:rPr>
          <w:rFonts w:asciiTheme="minorHAnsi" w:hAnsiTheme="minorHAnsi" w:cstheme="minorHAnsi"/>
          <w:sz w:val="22"/>
          <w:szCs w:val="22"/>
        </w:rPr>
        <w:t xml:space="preserve"> sont</w:t>
      </w:r>
      <w:r w:rsidR="00582CC2" w:rsidRPr="008E25F4">
        <w:rPr>
          <w:rFonts w:asciiTheme="minorHAnsi" w:hAnsiTheme="minorHAnsi" w:cstheme="minorHAnsi"/>
          <w:sz w:val="22"/>
          <w:szCs w:val="22"/>
        </w:rPr>
        <w:t xml:space="preserve"> </w:t>
      </w:r>
      <w:r w:rsidR="004A12BF" w:rsidRPr="008E25F4">
        <w:rPr>
          <w:rFonts w:asciiTheme="minorHAnsi" w:hAnsiTheme="minorHAnsi" w:cstheme="minorHAnsi"/>
          <w:sz w:val="22"/>
          <w:szCs w:val="22"/>
        </w:rPr>
        <w:t xml:space="preserve">propices </w:t>
      </w:r>
      <w:r w:rsidR="009D3B67" w:rsidRPr="008E25F4">
        <w:rPr>
          <w:rFonts w:asciiTheme="minorHAnsi" w:hAnsiTheme="minorHAnsi" w:cstheme="minorHAnsi"/>
          <w:sz w:val="22"/>
          <w:szCs w:val="22"/>
        </w:rPr>
        <w:t>à des</w:t>
      </w:r>
      <w:r w:rsidR="00582CC2" w:rsidRPr="008E25F4">
        <w:rPr>
          <w:rFonts w:asciiTheme="minorHAnsi" w:hAnsiTheme="minorHAnsi" w:cstheme="minorHAnsi"/>
          <w:sz w:val="22"/>
          <w:szCs w:val="22"/>
        </w:rPr>
        <w:t xml:space="preserve"> relations d</w:t>
      </w:r>
      <w:r w:rsidR="007C14A2" w:rsidRPr="008E25F4">
        <w:rPr>
          <w:rFonts w:asciiTheme="minorHAnsi" w:hAnsiTheme="minorHAnsi" w:cstheme="minorHAnsi"/>
          <w:sz w:val="22"/>
          <w:szCs w:val="22"/>
        </w:rPr>
        <w:t>’agence </w:t>
      </w:r>
    </w:p>
    <w:p w14:paraId="42DBAD45" w14:textId="6DB6DAD3" w:rsidR="00C31A31" w:rsidRPr="008E25F4" w:rsidRDefault="00970CA1" w:rsidP="00932E08">
      <w:pPr>
        <w:suppressAutoHyphens/>
        <w:jc w:val="both"/>
        <w:rPr>
          <w:rFonts w:cstheme="minorHAnsi"/>
        </w:rPr>
      </w:pPr>
      <w:r w:rsidRPr="008E25F4">
        <w:rPr>
          <w:rFonts w:cstheme="minorHAnsi"/>
        </w:rPr>
        <w:t xml:space="preserve">Comme le soulignent </w:t>
      </w:r>
      <w:bookmarkStart w:id="28" w:name="_Hlk35440340"/>
      <w:proofErr w:type="spellStart"/>
      <w:r w:rsidR="00B5339D" w:rsidRPr="008E25F4">
        <w:rPr>
          <w:rFonts w:cstheme="minorHAnsi"/>
        </w:rPr>
        <w:t>Facal</w:t>
      </w:r>
      <w:proofErr w:type="spellEnd"/>
      <w:r w:rsidR="00B5339D" w:rsidRPr="008E25F4">
        <w:rPr>
          <w:rFonts w:cstheme="minorHAnsi"/>
        </w:rPr>
        <w:t xml:space="preserve"> et </w:t>
      </w:r>
      <w:proofErr w:type="spellStart"/>
      <w:r w:rsidR="00B5339D" w:rsidRPr="008E25F4">
        <w:rPr>
          <w:rFonts w:cstheme="minorHAnsi"/>
        </w:rPr>
        <w:t>Mazouz</w:t>
      </w:r>
      <w:proofErr w:type="spellEnd"/>
      <w:r w:rsidR="00B5339D" w:rsidRPr="008E25F4">
        <w:rPr>
          <w:rFonts w:cstheme="minorHAnsi"/>
        </w:rPr>
        <w:t xml:space="preserve"> (2013</w:t>
      </w:r>
      <w:r w:rsidR="00D92FAE" w:rsidRPr="008E25F4">
        <w:rPr>
          <w:rFonts w:cstheme="minorHAnsi"/>
        </w:rPr>
        <w:t>, p 128</w:t>
      </w:r>
      <w:r w:rsidR="00B5339D" w:rsidRPr="008E25F4">
        <w:rPr>
          <w:rFonts w:cstheme="minorHAnsi"/>
        </w:rPr>
        <w:t>)</w:t>
      </w:r>
      <w:bookmarkEnd w:id="28"/>
      <w:r w:rsidR="00C93207" w:rsidRPr="008E25F4">
        <w:rPr>
          <w:rFonts w:cstheme="minorHAnsi"/>
        </w:rPr>
        <w:t>,</w:t>
      </w:r>
      <w:r w:rsidR="00E16AED" w:rsidRPr="008E25F4">
        <w:rPr>
          <w:rFonts w:cstheme="minorHAnsi"/>
        </w:rPr>
        <w:t xml:space="preserve"> </w:t>
      </w:r>
      <w:r w:rsidRPr="008E25F4">
        <w:rPr>
          <w:rFonts w:cstheme="minorHAnsi"/>
        </w:rPr>
        <w:t>il n’existe pas de lien hiérarchique entre le comptable public</w:t>
      </w:r>
      <w:r w:rsidR="00E16AED" w:rsidRPr="008E25F4">
        <w:rPr>
          <w:rFonts w:cstheme="minorHAnsi"/>
        </w:rPr>
        <w:t xml:space="preserve"> </w:t>
      </w:r>
      <w:r w:rsidRPr="008E25F4">
        <w:rPr>
          <w:rFonts w:cstheme="minorHAnsi"/>
        </w:rPr>
        <w:t>et l’ordonnateur</w:t>
      </w:r>
      <w:r w:rsidR="00E16AED" w:rsidRPr="008E25F4">
        <w:rPr>
          <w:rFonts w:cstheme="minorHAnsi"/>
        </w:rPr>
        <w:t xml:space="preserve"> : ce dernier a un mandat politique, le comptable est </w:t>
      </w:r>
      <w:r w:rsidR="0025452A" w:rsidRPr="008E25F4">
        <w:rPr>
          <w:rFonts w:cstheme="minorHAnsi"/>
        </w:rPr>
        <w:t xml:space="preserve">un </w:t>
      </w:r>
      <w:r w:rsidR="00E16AED" w:rsidRPr="008E25F4">
        <w:rPr>
          <w:rFonts w:cstheme="minorHAnsi"/>
        </w:rPr>
        <w:t>perso</w:t>
      </w:r>
      <w:r w:rsidR="007C14A2" w:rsidRPr="008E25F4">
        <w:rPr>
          <w:rFonts w:cstheme="minorHAnsi"/>
        </w:rPr>
        <w:t>nnel fonctionnaire de la DGFIP qui s’impose à l’organisation (</w:t>
      </w:r>
      <w:r w:rsidR="008B4EA7" w:rsidRPr="008E25F4">
        <w:rPr>
          <w:rFonts w:cstheme="minorHAnsi"/>
        </w:rPr>
        <w:t>C</w:t>
      </w:r>
      <w:r w:rsidR="00A35D96">
        <w:rPr>
          <w:rFonts w:cstheme="minorHAnsi"/>
        </w:rPr>
        <w:t>T</w:t>
      </w:r>
      <w:r w:rsidR="007C14A2" w:rsidRPr="008E25F4">
        <w:rPr>
          <w:rFonts w:cstheme="minorHAnsi"/>
        </w:rPr>
        <w:t>, établissement public…)</w:t>
      </w:r>
      <w:r w:rsidR="000A2B82" w:rsidRPr="008E25F4">
        <w:rPr>
          <w:rFonts w:cstheme="minorHAnsi"/>
        </w:rPr>
        <w:t xml:space="preserve"> comme cela a été précisé précédemment.</w:t>
      </w:r>
      <w:r w:rsidR="007C14A2" w:rsidRPr="008E25F4">
        <w:rPr>
          <w:rFonts w:cstheme="minorHAnsi"/>
        </w:rPr>
        <w:t xml:space="preserve"> </w:t>
      </w:r>
      <w:r w:rsidR="00335C44" w:rsidRPr="008E25F4">
        <w:rPr>
          <w:rFonts w:cstheme="minorHAnsi"/>
        </w:rPr>
        <w:t>Notons qu’il en est de même entre l’ordonnateur et le personnel de la direction comptable et financière de la C</w:t>
      </w:r>
      <w:r w:rsidR="00BF2ADE">
        <w:rPr>
          <w:rFonts w:cstheme="minorHAnsi"/>
        </w:rPr>
        <w:t>T</w:t>
      </w:r>
      <w:r w:rsidR="00335C44" w:rsidRPr="008E25F4">
        <w:rPr>
          <w:rFonts w:cstheme="minorHAnsi"/>
        </w:rPr>
        <w:t xml:space="preserve">. </w:t>
      </w:r>
      <w:r w:rsidR="007C14A2" w:rsidRPr="008E25F4">
        <w:rPr>
          <w:rFonts w:cstheme="minorHAnsi"/>
        </w:rPr>
        <w:t>Selon ces auteurs, le</w:t>
      </w:r>
      <w:r w:rsidR="00E16AED" w:rsidRPr="008E25F4">
        <w:rPr>
          <w:rFonts w:cstheme="minorHAnsi"/>
        </w:rPr>
        <w:t xml:space="preserve"> politique (élu)</w:t>
      </w:r>
      <w:r w:rsidR="007C14A2" w:rsidRPr="008E25F4">
        <w:rPr>
          <w:rFonts w:cstheme="minorHAnsi"/>
        </w:rPr>
        <w:t xml:space="preserve"> aura tendance</w:t>
      </w:r>
      <w:r w:rsidR="00E16AED" w:rsidRPr="008E25F4">
        <w:rPr>
          <w:rFonts w:cstheme="minorHAnsi"/>
        </w:rPr>
        <w:t xml:space="preserve"> à se dédouaner vers le fonctio</w:t>
      </w:r>
      <w:r w:rsidR="007C14A2" w:rsidRPr="008E25F4">
        <w:rPr>
          <w:rFonts w:cstheme="minorHAnsi"/>
        </w:rPr>
        <w:t>nnaire. La relation entre o</w:t>
      </w:r>
      <w:r w:rsidR="00464153" w:rsidRPr="008E25F4">
        <w:rPr>
          <w:rFonts w:cstheme="minorHAnsi"/>
        </w:rPr>
        <w:t>rdonnateur et comptable public</w:t>
      </w:r>
      <w:r w:rsidR="007C14A2" w:rsidRPr="008E25F4">
        <w:rPr>
          <w:rFonts w:cstheme="minorHAnsi"/>
        </w:rPr>
        <w:t xml:space="preserve"> </w:t>
      </w:r>
      <w:r w:rsidR="00306CDA" w:rsidRPr="008E25F4">
        <w:rPr>
          <w:rFonts w:cstheme="minorHAnsi"/>
        </w:rPr>
        <w:t>se distingue de la relation entre principal et agent dans la mesure où il n’y a pas un contrat</w:t>
      </w:r>
      <w:r w:rsidR="00FD528D" w:rsidRPr="008E25F4">
        <w:rPr>
          <w:rFonts w:cstheme="minorHAnsi"/>
        </w:rPr>
        <w:t xml:space="preserve"> établi</w:t>
      </w:r>
      <w:r w:rsidR="00306CDA" w:rsidRPr="008E25F4">
        <w:rPr>
          <w:rFonts w:cstheme="minorHAnsi"/>
        </w:rPr>
        <w:t xml:space="preserve"> par lequel le premier confie au second u</w:t>
      </w:r>
      <w:r w:rsidR="00FD528D" w:rsidRPr="008E25F4">
        <w:rPr>
          <w:rFonts w:cstheme="minorHAnsi"/>
        </w:rPr>
        <w:t xml:space="preserve">ne tâche en son nom mais par leurs missions respectives, </w:t>
      </w:r>
      <w:r w:rsidR="00AE064E" w:rsidRPr="008E25F4">
        <w:rPr>
          <w:rFonts w:cstheme="minorHAnsi"/>
        </w:rPr>
        <w:t>un contrat implicite existe entre eux. C</w:t>
      </w:r>
      <w:r w:rsidR="00E73CD5" w:rsidRPr="008E25F4">
        <w:rPr>
          <w:rFonts w:cstheme="minorHAnsi"/>
        </w:rPr>
        <w:t>’est l’Assemblée D</w:t>
      </w:r>
      <w:r w:rsidR="00A65DE0" w:rsidRPr="008E25F4">
        <w:rPr>
          <w:rFonts w:cstheme="minorHAnsi"/>
        </w:rPr>
        <w:t>élibérante (Conseil Municipal en commune)</w:t>
      </w:r>
      <w:r w:rsidR="009973E3" w:rsidRPr="008E25F4">
        <w:rPr>
          <w:rFonts w:cstheme="minorHAnsi"/>
        </w:rPr>
        <w:t xml:space="preserve"> qui vote le compte de gestion éta</w:t>
      </w:r>
      <w:r w:rsidR="00A65DE0" w:rsidRPr="008E25F4">
        <w:rPr>
          <w:rFonts w:cstheme="minorHAnsi"/>
        </w:rPr>
        <w:t>bli par le comptable or cet organe est supervisé</w:t>
      </w:r>
      <w:r w:rsidR="009973E3" w:rsidRPr="008E25F4">
        <w:rPr>
          <w:rFonts w:cstheme="minorHAnsi"/>
        </w:rPr>
        <w:t xml:space="preserve"> par l’ordonnateur, le comptable serait donc </w:t>
      </w:r>
      <w:r w:rsidR="009973E3" w:rsidRPr="008E25F4">
        <w:rPr>
          <w:rFonts w:cstheme="minorHAnsi"/>
        </w:rPr>
        <w:lastRenderedPageBreak/>
        <w:t>aussi contrôlé par l’ordonnateur</w:t>
      </w:r>
      <w:r w:rsidR="002467AE" w:rsidRPr="008E25F4">
        <w:rPr>
          <w:rFonts w:cstheme="minorHAnsi"/>
        </w:rPr>
        <w:t>, de façon indirecte</w:t>
      </w:r>
      <w:r w:rsidR="009973E3" w:rsidRPr="008E25F4">
        <w:rPr>
          <w:rFonts w:cstheme="minorHAnsi"/>
        </w:rPr>
        <w:t xml:space="preserve">. </w:t>
      </w:r>
      <w:r w:rsidR="0036193D" w:rsidRPr="008E25F4">
        <w:rPr>
          <w:rFonts w:cstheme="minorHAnsi"/>
        </w:rPr>
        <w:t>Aussi le compte de gestion</w:t>
      </w:r>
      <w:r w:rsidR="00001D67" w:rsidRPr="008E25F4">
        <w:rPr>
          <w:rFonts w:cstheme="minorHAnsi"/>
        </w:rPr>
        <w:t>, établi par le comptable,</w:t>
      </w:r>
      <w:r w:rsidR="0036193D" w:rsidRPr="008E25F4">
        <w:rPr>
          <w:rFonts w:cstheme="minorHAnsi"/>
        </w:rPr>
        <w:t xml:space="preserve"> est visé par l’ordonnateur. </w:t>
      </w:r>
      <w:r w:rsidR="00286372" w:rsidRPr="008E25F4">
        <w:rPr>
          <w:rFonts w:cstheme="minorHAnsi"/>
        </w:rPr>
        <w:t xml:space="preserve">Le comptable doit </w:t>
      </w:r>
      <w:r w:rsidR="002467AE" w:rsidRPr="008E25F4">
        <w:rPr>
          <w:rFonts w:cstheme="minorHAnsi"/>
        </w:rPr>
        <w:t>lui</w:t>
      </w:r>
      <w:r w:rsidR="000013E1" w:rsidRPr="008E25F4">
        <w:rPr>
          <w:rFonts w:cstheme="minorHAnsi"/>
        </w:rPr>
        <w:t>,</w:t>
      </w:r>
      <w:r w:rsidR="002467AE" w:rsidRPr="008E25F4">
        <w:rPr>
          <w:rFonts w:cstheme="minorHAnsi"/>
        </w:rPr>
        <w:t xml:space="preserve"> </w:t>
      </w:r>
      <w:r w:rsidR="00286372" w:rsidRPr="008E25F4">
        <w:rPr>
          <w:rFonts w:cstheme="minorHAnsi"/>
        </w:rPr>
        <w:t>contrôler la dépense et la recet</w:t>
      </w:r>
      <w:r w:rsidR="00C31A31" w:rsidRPr="008E25F4">
        <w:rPr>
          <w:rFonts w:cstheme="minorHAnsi"/>
        </w:rPr>
        <w:t>te ordonnées par l’ordonnateur. Conformément à Fama et Jensen (1983</w:t>
      </w:r>
      <w:r w:rsidR="00E93FF2" w:rsidRPr="008E25F4">
        <w:rPr>
          <w:rFonts w:cstheme="minorHAnsi"/>
        </w:rPr>
        <w:t xml:space="preserve"> b</w:t>
      </w:r>
      <w:r w:rsidR="00C31A31" w:rsidRPr="008E25F4">
        <w:rPr>
          <w:rFonts w:cstheme="minorHAnsi"/>
        </w:rPr>
        <w:t>), le contrôle de l’agent par le principal est nécessaire pour qu’il agisse dans l’intérêt de ce dernier. Le contrôle de l’ordonnateur se justifie dans l’intérêt de la</w:t>
      </w:r>
      <w:r w:rsidR="005E03DF" w:rsidRPr="008E25F4">
        <w:rPr>
          <w:rFonts w:cstheme="minorHAnsi"/>
        </w:rPr>
        <w:t xml:space="preserve"> </w:t>
      </w:r>
      <w:r w:rsidR="008B4EA7" w:rsidRPr="008E25F4">
        <w:rPr>
          <w:rFonts w:cstheme="minorHAnsi"/>
        </w:rPr>
        <w:t>C</w:t>
      </w:r>
      <w:r w:rsidR="00A35D96">
        <w:rPr>
          <w:rFonts w:cstheme="minorHAnsi"/>
        </w:rPr>
        <w:t>T</w:t>
      </w:r>
      <w:r w:rsidR="005E03DF" w:rsidRPr="008E25F4">
        <w:rPr>
          <w:rFonts w:cstheme="minorHAnsi"/>
        </w:rPr>
        <w:t xml:space="preserve"> qu’il administre mais pas dans l’intérêt matériel direct du comptable. </w:t>
      </w:r>
      <w:r w:rsidR="00427E5D" w:rsidRPr="008E25F4">
        <w:rPr>
          <w:rFonts w:cstheme="minorHAnsi"/>
        </w:rPr>
        <w:t>Toutefois, ce dernier a un intérêt indirect à contrôler l’ordonnateur car</w:t>
      </w:r>
      <w:r w:rsidR="00185FF1" w:rsidRPr="008E25F4">
        <w:rPr>
          <w:rFonts w:cstheme="minorHAnsi"/>
        </w:rPr>
        <w:t xml:space="preserve"> il</w:t>
      </w:r>
      <w:r w:rsidR="005E03DF" w:rsidRPr="008E25F4">
        <w:rPr>
          <w:rFonts w:cstheme="minorHAnsi"/>
        </w:rPr>
        <w:t xml:space="preserve"> risque d’être sanctionné si sa fonction de contrôle apparait défaillante. C</w:t>
      </w:r>
      <w:r w:rsidR="00C31A31" w:rsidRPr="008E25F4">
        <w:rPr>
          <w:rFonts w:cstheme="minorHAnsi"/>
        </w:rPr>
        <w:t xml:space="preserve">ependant le comptable n’a pas de droit de regard sur le bien-fondé des recettes et dépenses engagées </w:t>
      </w:r>
      <w:r w:rsidR="005E03DF" w:rsidRPr="008E25F4">
        <w:rPr>
          <w:rFonts w:cstheme="minorHAnsi"/>
        </w:rPr>
        <w:t xml:space="preserve">par l’ordonnateur </w:t>
      </w:r>
      <w:r w:rsidR="00C31A31" w:rsidRPr="008E25F4">
        <w:rPr>
          <w:rFonts w:cstheme="minorHAnsi"/>
        </w:rPr>
        <w:t>(</w:t>
      </w:r>
      <w:bookmarkStart w:id="29" w:name="_Hlk35440378"/>
      <w:proofErr w:type="spellStart"/>
      <w:r w:rsidR="00C31A31" w:rsidRPr="008E25F4">
        <w:rPr>
          <w:rFonts w:cstheme="minorHAnsi"/>
        </w:rPr>
        <w:t>Jeannard</w:t>
      </w:r>
      <w:proofErr w:type="spellEnd"/>
      <w:r w:rsidR="00B50C21" w:rsidRPr="008E25F4">
        <w:rPr>
          <w:rFonts w:cstheme="minorHAnsi"/>
        </w:rPr>
        <w:t xml:space="preserve"> </w:t>
      </w:r>
      <w:r w:rsidR="00C31A31" w:rsidRPr="008E25F4">
        <w:rPr>
          <w:rFonts w:cstheme="minorHAnsi"/>
        </w:rPr>
        <w:t>2012</w:t>
      </w:r>
      <w:bookmarkEnd w:id="29"/>
      <w:r w:rsidR="00186E90" w:rsidRPr="008E25F4">
        <w:rPr>
          <w:rFonts w:cstheme="minorHAnsi"/>
        </w:rPr>
        <w:t>, p</w:t>
      </w:r>
      <w:r w:rsidR="00471DB0">
        <w:rPr>
          <w:rFonts w:cstheme="minorHAnsi"/>
        </w:rPr>
        <w:t xml:space="preserve"> </w:t>
      </w:r>
      <w:r w:rsidR="00186E90" w:rsidRPr="008E25F4">
        <w:rPr>
          <w:rFonts w:cstheme="minorHAnsi"/>
        </w:rPr>
        <w:t>120</w:t>
      </w:r>
      <w:r w:rsidR="00C31A31" w:rsidRPr="008E25F4">
        <w:rPr>
          <w:rFonts w:cstheme="minorHAnsi"/>
        </w:rPr>
        <w:t>)</w:t>
      </w:r>
      <w:r w:rsidR="00F72A08" w:rsidRPr="008E25F4">
        <w:rPr>
          <w:rFonts w:cstheme="minorHAnsi"/>
        </w:rPr>
        <w:t xml:space="preserve">, cette mission incombe aux juridictions financières, en l’occurrence les </w:t>
      </w:r>
      <w:r w:rsidR="00A01454" w:rsidRPr="008E25F4">
        <w:rPr>
          <w:rFonts w:cstheme="minorHAnsi"/>
        </w:rPr>
        <w:t>CRC</w:t>
      </w:r>
      <w:r w:rsidR="00F72A08" w:rsidRPr="008E25F4">
        <w:rPr>
          <w:rFonts w:cstheme="minorHAnsi"/>
        </w:rPr>
        <w:t xml:space="preserve"> pour les </w:t>
      </w:r>
      <w:r w:rsidR="008B4EA7" w:rsidRPr="008E25F4">
        <w:rPr>
          <w:rFonts w:cstheme="minorHAnsi"/>
        </w:rPr>
        <w:t>C</w:t>
      </w:r>
      <w:r w:rsidR="004D4731" w:rsidRPr="008E25F4">
        <w:rPr>
          <w:rFonts w:cstheme="minorHAnsi"/>
        </w:rPr>
        <w:t>T</w:t>
      </w:r>
      <w:r w:rsidR="00F72A08" w:rsidRPr="008E25F4">
        <w:rPr>
          <w:rFonts w:cstheme="minorHAnsi"/>
        </w:rPr>
        <w:t>.</w:t>
      </w:r>
      <w:r w:rsidR="00777973" w:rsidRPr="008E25F4">
        <w:rPr>
          <w:rFonts w:cstheme="minorHAnsi"/>
        </w:rPr>
        <w:t xml:space="preserve"> </w:t>
      </w:r>
      <w:r w:rsidR="00F27CE8" w:rsidRPr="008E25F4">
        <w:rPr>
          <w:rFonts w:cstheme="minorHAnsi"/>
        </w:rPr>
        <w:t>L’indépendance de l’ordonnateur vis-à-vis du comptable quant au bien fondé du budget peut être rapprochée de certaines situations de gestion en entreprise privée dans lesquelles celui qui doit rendre des comptes n’a pas le pouvoir de réclamer des comptes aux personnes concernées (</w:t>
      </w:r>
      <w:proofErr w:type="spellStart"/>
      <w:r w:rsidR="00367096" w:rsidRPr="008E25F4">
        <w:rPr>
          <w:rFonts w:cstheme="minorHAnsi"/>
        </w:rPr>
        <w:t>Monneuse</w:t>
      </w:r>
      <w:proofErr w:type="spellEnd"/>
      <w:r w:rsidR="00367096" w:rsidRPr="008E25F4">
        <w:rPr>
          <w:rFonts w:cstheme="minorHAnsi"/>
        </w:rPr>
        <w:t xml:space="preserve"> et Gautier 2013), cette absence de hiérarchie générant des conflits.</w:t>
      </w:r>
      <w:r w:rsidR="009A63A2" w:rsidRPr="008E25F4">
        <w:rPr>
          <w:rFonts w:cstheme="minorHAnsi"/>
        </w:rPr>
        <w:t xml:space="preserve"> La responsabilité personnelle et pécuniaire du comptable est souvent perçue comme un gage d</w:t>
      </w:r>
      <w:r w:rsidR="007D3E83" w:rsidRPr="008E25F4">
        <w:rPr>
          <w:rFonts w:cstheme="minorHAnsi"/>
        </w:rPr>
        <w:t xml:space="preserve">e son </w:t>
      </w:r>
      <w:r w:rsidR="009A63A2" w:rsidRPr="008E25F4">
        <w:rPr>
          <w:rFonts w:cstheme="minorHAnsi"/>
        </w:rPr>
        <w:t>indépendance</w:t>
      </w:r>
      <w:r w:rsidR="007D3E83" w:rsidRPr="008E25F4">
        <w:rPr>
          <w:rFonts w:cstheme="minorHAnsi"/>
        </w:rPr>
        <w:t xml:space="preserve"> et permet de faire primer l’intérêt général (Mariel 2017</w:t>
      </w:r>
      <w:r w:rsidR="00AC7868" w:rsidRPr="008E25F4">
        <w:rPr>
          <w:rFonts w:cstheme="minorHAnsi"/>
        </w:rPr>
        <w:t>, p 69</w:t>
      </w:r>
      <w:r w:rsidR="007D3E83" w:rsidRPr="008E25F4">
        <w:rPr>
          <w:rFonts w:cstheme="minorHAnsi"/>
        </w:rPr>
        <w:t>)</w:t>
      </w:r>
      <w:r w:rsidR="00C86F75" w:rsidRPr="008E25F4">
        <w:rPr>
          <w:rFonts w:cstheme="minorHAnsi"/>
        </w:rPr>
        <w:t xml:space="preserve">. Elle est conforme à l’idée avancée par </w:t>
      </w:r>
      <w:proofErr w:type="spellStart"/>
      <w:r w:rsidR="00C86F75" w:rsidRPr="008E25F4">
        <w:rPr>
          <w:rFonts w:cstheme="minorHAnsi"/>
        </w:rPr>
        <w:t>Zardkoohi</w:t>
      </w:r>
      <w:proofErr w:type="spellEnd"/>
      <w:r w:rsidR="00C86F75" w:rsidRPr="008E25F4">
        <w:rPr>
          <w:rFonts w:cstheme="minorHAnsi"/>
        </w:rPr>
        <w:t xml:space="preserve"> </w:t>
      </w:r>
      <w:r w:rsidR="00C86F75" w:rsidRPr="008E25F4">
        <w:rPr>
          <w:rFonts w:cstheme="minorHAnsi"/>
          <w:i/>
        </w:rPr>
        <w:t>et al</w:t>
      </w:r>
      <w:r w:rsidR="00C86F75" w:rsidRPr="008E25F4">
        <w:rPr>
          <w:rFonts w:cstheme="minorHAnsi"/>
        </w:rPr>
        <w:t xml:space="preserve"> (2017</w:t>
      </w:r>
      <w:r w:rsidR="00C23507" w:rsidRPr="008E25F4">
        <w:rPr>
          <w:rFonts w:cstheme="minorHAnsi"/>
        </w:rPr>
        <w:t>, p 411</w:t>
      </w:r>
      <w:r w:rsidR="00C86F75" w:rsidRPr="008E25F4">
        <w:rPr>
          <w:rFonts w:cstheme="minorHAnsi"/>
        </w:rPr>
        <w:t>) selon laquelle la législation limite l’impact des conflits d’intérêts ou des convergences d’intérêts entre principaux et agents sur les intérêts des autres partenaires, en l’occurrence les citoyens</w:t>
      </w:r>
      <w:r w:rsidR="00FB4566" w:rsidRPr="008E25F4">
        <w:rPr>
          <w:rFonts w:cstheme="minorHAnsi"/>
        </w:rPr>
        <w:t xml:space="preserve"> dans le cas des </w:t>
      </w:r>
      <w:r w:rsidR="008B4EA7" w:rsidRPr="008E25F4">
        <w:rPr>
          <w:rFonts w:cstheme="minorHAnsi"/>
        </w:rPr>
        <w:t>C</w:t>
      </w:r>
      <w:r w:rsidR="004D4731" w:rsidRPr="008E25F4">
        <w:rPr>
          <w:rFonts w:cstheme="minorHAnsi"/>
        </w:rPr>
        <w:t>T</w:t>
      </w:r>
      <w:r w:rsidR="00FB4566" w:rsidRPr="008E25F4">
        <w:rPr>
          <w:rFonts w:cstheme="minorHAnsi"/>
        </w:rPr>
        <w:t xml:space="preserve"> mais aussi les fournisseurs, les </w:t>
      </w:r>
      <w:r w:rsidR="001C33E7" w:rsidRPr="008E25F4">
        <w:rPr>
          <w:rFonts w:cstheme="minorHAnsi"/>
        </w:rPr>
        <w:t>organismes sociaux, prêteurs et pourvoyeurs de subventions.</w:t>
      </w:r>
    </w:p>
    <w:p w14:paraId="00930856" w14:textId="47EC65D0" w:rsidR="00ED2A10" w:rsidRPr="008E25F4" w:rsidRDefault="00C31A31" w:rsidP="00932E08">
      <w:pPr>
        <w:suppressAutoHyphens/>
        <w:jc w:val="both"/>
        <w:rPr>
          <w:rFonts w:cstheme="minorHAnsi"/>
        </w:rPr>
      </w:pPr>
      <w:r w:rsidRPr="008E25F4">
        <w:rPr>
          <w:rFonts w:cstheme="minorHAnsi"/>
        </w:rPr>
        <w:t>L</w:t>
      </w:r>
      <w:r w:rsidR="00286372" w:rsidRPr="008E25F4">
        <w:rPr>
          <w:rFonts w:cstheme="minorHAnsi"/>
        </w:rPr>
        <w:t>a mise en cause</w:t>
      </w:r>
      <w:r w:rsidRPr="008E25F4">
        <w:rPr>
          <w:rFonts w:cstheme="minorHAnsi"/>
        </w:rPr>
        <w:t xml:space="preserve"> du comptable</w:t>
      </w:r>
      <w:r w:rsidR="009973E3" w:rsidRPr="008E25F4">
        <w:rPr>
          <w:rFonts w:cstheme="minorHAnsi"/>
        </w:rPr>
        <w:t xml:space="preserve"> dans le cas de sa respons</w:t>
      </w:r>
      <w:r w:rsidR="00F277F2" w:rsidRPr="008E25F4">
        <w:rPr>
          <w:rFonts w:cstheme="minorHAnsi"/>
        </w:rPr>
        <w:t>abilité</w:t>
      </w:r>
      <w:r w:rsidR="009973E3" w:rsidRPr="008E25F4">
        <w:rPr>
          <w:rFonts w:cstheme="minorHAnsi"/>
        </w:rPr>
        <w:t xml:space="preserve"> </w:t>
      </w:r>
      <w:r w:rsidR="00286372" w:rsidRPr="008E25F4">
        <w:rPr>
          <w:rFonts w:cstheme="minorHAnsi"/>
        </w:rPr>
        <w:t xml:space="preserve">(jugement par un juge de la </w:t>
      </w:r>
      <w:r w:rsidR="004D4731" w:rsidRPr="008E25F4">
        <w:rPr>
          <w:rFonts w:cstheme="minorHAnsi"/>
        </w:rPr>
        <w:t>CRC</w:t>
      </w:r>
      <w:r w:rsidR="00BF2ADE">
        <w:rPr>
          <w:rFonts w:cstheme="minorHAnsi"/>
        </w:rPr>
        <w:t>)</w:t>
      </w:r>
      <w:r w:rsidR="001722D3" w:rsidRPr="008E25F4">
        <w:rPr>
          <w:rFonts w:cstheme="minorHAnsi"/>
        </w:rPr>
        <w:t xml:space="preserve">, représente entre 8 et 15 % de l’activité des </w:t>
      </w:r>
      <w:r w:rsidR="00A01454" w:rsidRPr="008E25F4">
        <w:rPr>
          <w:rFonts w:cstheme="minorHAnsi"/>
        </w:rPr>
        <w:t xml:space="preserve">CRC </w:t>
      </w:r>
      <w:r w:rsidR="001722D3" w:rsidRPr="008E25F4">
        <w:rPr>
          <w:rFonts w:cstheme="minorHAnsi"/>
        </w:rPr>
        <w:t xml:space="preserve">selon </w:t>
      </w:r>
      <w:proofErr w:type="spellStart"/>
      <w:r w:rsidR="001722D3" w:rsidRPr="008E25F4">
        <w:rPr>
          <w:rFonts w:cstheme="minorHAnsi"/>
        </w:rPr>
        <w:t>Dufresnoy</w:t>
      </w:r>
      <w:proofErr w:type="spellEnd"/>
      <w:r w:rsidR="001722D3" w:rsidRPr="008E25F4">
        <w:rPr>
          <w:rFonts w:cstheme="minorHAnsi"/>
        </w:rPr>
        <w:t xml:space="preserve"> (2018, p103)</w:t>
      </w:r>
      <w:r w:rsidR="00286372" w:rsidRPr="008E25F4">
        <w:rPr>
          <w:rFonts w:cstheme="minorHAnsi"/>
        </w:rPr>
        <w:t xml:space="preserve">) </w:t>
      </w:r>
      <w:r w:rsidR="009973E3" w:rsidRPr="008E25F4">
        <w:rPr>
          <w:rFonts w:cstheme="minorHAnsi"/>
        </w:rPr>
        <w:t>et aussi les précautions prises (cautionnement, assurance</w:t>
      </w:r>
      <w:r w:rsidR="00BD09A6" w:rsidRPr="008E25F4">
        <w:rPr>
          <w:rFonts w:cstheme="minorHAnsi"/>
        </w:rPr>
        <w:t>, régimes indemnitai</w:t>
      </w:r>
      <w:r w:rsidR="00477AD5" w:rsidRPr="008E25F4">
        <w:rPr>
          <w:rFonts w:cstheme="minorHAnsi"/>
        </w:rPr>
        <w:t>res pour les comptables supérieurs</w:t>
      </w:r>
      <w:r w:rsidR="009973E3" w:rsidRPr="008E25F4">
        <w:rPr>
          <w:rFonts w:cstheme="minorHAnsi"/>
        </w:rPr>
        <w:t>) génère</w:t>
      </w:r>
      <w:r w:rsidR="00286372" w:rsidRPr="008E25F4">
        <w:rPr>
          <w:rFonts w:cstheme="minorHAnsi"/>
        </w:rPr>
        <w:t>nt</w:t>
      </w:r>
      <w:r w:rsidR="009973E3" w:rsidRPr="008E25F4">
        <w:rPr>
          <w:rFonts w:cstheme="minorHAnsi"/>
        </w:rPr>
        <w:t xml:space="preserve"> des coûts que l’on peut assimiler à des coûts d’agence. </w:t>
      </w:r>
      <w:r w:rsidR="00BD09A6" w:rsidRPr="008E25F4">
        <w:rPr>
          <w:rFonts w:cstheme="minorHAnsi"/>
        </w:rPr>
        <w:t xml:space="preserve">Le comptable </w:t>
      </w:r>
      <w:r w:rsidR="00286372" w:rsidRPr="008E25F4">
        <w:rPr>
          <w:rFonts w:cstheme="minorHAnsi"/>
        </w:rPr>
        <w:t xml:space="preserve">adhère </w:t>
      </w:r>
      <w:r w:rsidR="00A1648E" w:rsidRPr="008E25F4">
        <w:rPr>
          <w:rFonts w:cstheme="minorHAnsi"/>
        </w:rPr>
        <w:t xml:space="preserve">obligatoirement </w:t>
      </w:r>
      <w:r w:rsidR="00286372" w:rsidRPr="008E25F4">
        <w:rPr>
          <w:rFonts w:cstheme="minorHAnsi"/>
        </w:rPr>
        <w:t xml:space="preserve">à </w:t>
      </w:r>
      <w:r w:rsidR="000013E1" w:rsidRPr="008E25F4">
        <w:rPr>
          <w:rFonts w:cstheme="minorHAnsi"/>
        </w:rPr>
        <w:t>une association de cautionnement,</w:t>
      </w:r>
      <w:r w:rsidR="00286372" w:rsidRPr="008E25F4">
        <w:rPr>
          <w:rFonts w:cstheme="minorHAnsi"/>
        </w:rPr>
        <w:t xml:space="preserve"> moyennant une cotisation</w:t>
      </w:r>
      <w:r w:rsidR="000013E1" w:rsidRPr="008E25F4">
        <w:rPr>
          <w:rFonts w:cstheme="minorHAnsi"/>
        </w:rPr>
        <w:t>,</w:t>
      </w:r>
      <w:r w:rsidR="00286372" w:rsidRPr="008E25F4">
        <w:rPr>
          <w:rFonts w:cstheme="minorHAnsi"/>
        </w:rPr>
        <w:t xml:space="preserve"> qui paiera à sa place </w:t>
      </w:r>
      <w:r w:rsidR="00A1648E" w:rsidRPr="008E25F4">
        <w:rPr>
          <w:rFonts w:cstheme="minorHAnsi"/>
        </w:rPr>
        <w:t>en cas d’impossibilité pour lui de le faire, s’il est</w:t>
      </w:r>
      <w:r w:rsidR="00286372" w:rsidRPr="008E25F4">
        <w:rPr>
          <w:rFonts w:cstheme="minorHAnsi"/>
        </w:rPr>
        <w:t xml:space="preserve"> mis en cause</w:t>
      </w:r>
      <w:r w:rsidR="00A1648E" w:rsidRPr="008E25F4">
        <w:rPr>
          <w:rFonts w:cstheme="minorHAnsi"/>
        </w:rPr>
        <w:t>,</w:t>
      </w:r>
      <w:r w:rsidR="00286372" w:rsidRPr="008E25F4">
        <w:rPr>
          <w:rFonts w:cstheme="minorHAnsi"/>
        </w:rPr>
        <w:t xml:space="preserve"> dans une certaine limite fixée en fonction du classement de la </w:t>
      </w:r>
      <w:r w:rsidR="008B4EA7" w:rsidRPr="008E25F4">
        <w:rPr>
          <w:rFonts w:cstheme="minorHAnsi"/>
        </w:rPr>
        <w:t>C</w:t>
      </w:r>
      <w:r w:rsidR="00A01454" w:rsidRPr="008E25F4">
        <w:rPr>
          <w:rFonts w:cstheme="minorHAnsi"/>
        </w:rPr>
        <w:t>T</w:t>
      </w:r>
      <w:r w:rsidR="00286372" w:rsidRPr="008E25F4">
        <w:rPr>
          <w:rFonts w:cstheme="minorHAnsi"/>
        </w:rPr>
        <w:t xml:space="preserve"> en niveau de responsabilité. Par ailleurs, il </w:t>
      </w:r>
      <w:r w:rsidR="00A1648E" w:rsidRPr="008E25F4">
        <w:rPr>
          <w:rFonts w:cstheme="minorHAnsi"/>
        </w:rPr>
        <w:t xml:space="preserve">peut </w:t>
      </w:r>
      <w:r w:rsidR="00286372" w:rsidRPr="008E25F4">
        <w:rPr>
          <w:rFonts w:cstheme="minorHAnsi"/>
        </w:rPr>
        <w:t>souscri</w:t>
      </w:r>
      <w:r w:rsidR="00A1648E" w:rsidRPr="008E25F4">
        <w:rPr>
          <w:rFonts w:cstheme="minorHAnsi"/>
        </w:rPr>
        <w:t>re</w:t>
      </w:r>
      <w:r w:rsidR="00286372" w:rsidRPr="008E25F4">
        <w:rPr>
          <w:rFonts w:cstheme="minorHAnsi"/>
        </w:rPr>
        <w:t xml:space="preserve"> une assurance spécif</w:t>
      </w:r>
      <w:r w:rsidR="00BD09A6" w:rsidRPr="008E25F4">
        <w:rPr>
          <w:rFonts w:cstheme="minorHAnsi"/>
        </w:rPr>
        <w:t xml:space="preserve">ique, </w:t>
      </w:r>
      <w:r w:rsidR="00A1648E" w:rsidRPr="008E25F4">
        <w:rPr>
          <w:rFonts w:cstheme="minorHAnsi"/>
        </w:rPr>
        <w:t xml:space="preserve">qui prendra en charge 90 % du laissé à charge, </w:t>
      </w:r>
      <w:r w:rsidR="00AA5B57" w:rsidRPr="008E25F4">
        <w:rPr>
          <w:rFonts w:cstheme="minorHAnsi"/>
        </w:rPr>
        <w:t xml:space="preserve">cette </w:t>
      </w:r>
      <w:r w:rsidR="00A1648E" w:rsidRPr="008E25F4">
        <w:rPr>
          <w:rFonts w:cstheme="minorHAnsi"/>
        </w:rPr>
        <w:t xml:space="preserve">indemnité d’assurance étant aussi </w:t>
      </w:r>
      <w:r w:rsidR="00AA5B57" w:rsidRPr="008E25F4">
        <w:rPr>
          <w:rFonts w:cstheme="minorHAnsi"/>
        </w:rPr>
        <w:t>plafonnée</w:t>
      </w:r>
      <w:r w:rsidR="00A1648E" w:rsidRPr="008E25F4">
        <w:rPr>
          <w:rFonts w:cstheme="minorHAnsi"/>
        </w:rPr>
        <w:t xml:space="preserve">. Le comptable qui détient une assurance </w:t>
      </w:r>
      <w:r w:rsidR="00AA5B57" w:rsidRPr="008E25F4">
        <w:rPr>
          <w:rFonts w:cstheme="minorHAnsi"/>
        </w:rPr>
        <w:t xml:space="preserve">pourra </w:t>
      </w:r>
      <w:r w:rsidR="00A1648E" w:rsidRPr="008E25F4">
        <w:rPr>
          <w:rFonts w:cstheme="minorHAnsi"/>
        </w:rPr>
        <w:t xml:space="preserve">alors s’adresser à l’association de cautionnement pour </w:t>
      </w:r>
      <w:r w:rsidR="00AA5B57" w:rsidRPr="008E25F4">
        <w:rPr>
          <w:rFonts w:cstheme="minorHAnsi"/>
        </w:rPr>
        <w:t xml:space="preserve">payer </w:t>
      </w:r>
      <w:r w:rsidR="00A1648E" w:rsidRPr="008E25F4">
        <w:rPr>
          <w:rFonts w:cstheme="minorHAnsi"/>
        </w:rPr>
        <w:t>10 % de son laissé à charge</w:t>
      </w:r>
      <w:r w:rsidR="00AA5B57" w:rsidRPr="008E25F4">
        <w:rPr>
          <w:rFonts w:cstheme="minorHAnsi"/>
        </w:rPr>
        <w:t xml:space="preserve">, en cas d’impossibilité pour lui de le débourser. </w:t>
      </w:r>
      <w:r w:rsidR="00C50FEE" w:rsidRPr="008E25F4">
        <w:rPr>
          <w:rFonts w:cstheme="minorHAnsi"/>
        </w:rPr>
        <w:t>Le nouveau régime de responsabilité du comptable découle de la loi du 28 décembre 2011</w:t>
      </w:r>
      <w:r w:rsidR="002C5103" w:rsidRPr="008E25F4">
        <w:rPr>
          <w:rFonts w:cstheme="minorHAnsi"/>
        </w:rPr>
        <w:t>,</w:t>
      </w:r>
      <w:r w:rsidR="00C50FEE" w:rsidRPr="008E25F4">
        <w:rPr>
          <w:rFonts w:cstheme="minorHAnsi"/>
        </w:rPr>
        <w:t> il con</w:t>
      </w:r>
      <w:r w:rsidR="002C5103" w:rsidRPr="008E25F4">
        <w:rPr>
          <w:rFonts w:cstheme="minorHAnsi"/>
        </w:rPr>
        <w:t>fère</w:t>
      </w:r>
      <w:r w:rsidR="00C50FEE" w:rsidRPr="008E25F4">
        <w:rPr>
          <w:rFonts w:cstheme="minorHAnsi"/>
        </w:rPr>
        <w:t xml:space="preserve"> d’identifier le manquement du comptable et d’en déduire s’il a causé ou non un préjudice financier pour la </w:t>
      </w:r>
      <w:r w:rsidR="008B4EA7" w:rsidRPr="008E25F4">
        <w:rPr>
          <w:rFonts w:cstheme="minorHAnsi"/>
        </w:rPr>
        <w:t>C</w:t>
      </w:r>
      <w:r w:rsidR="004D4731" w:rsidRPr="008E25F4">
        <w:rPr>
          <w:rFonts w:cstheme="minorHAnsi"/>
        </w:rPr>
        <w:t>T</w:t>
      </w:r>
      <w:r w:rsidR="00C50FEE" w:rsidRPr="008E25F4">
        <w:rPr>
          <w:rFonts w:cstheme="minorHAnsi"/>
        </w:rPr>
        <w:t>. S’il y a préjudice finan</w:t>
      </w:r>
      <w:r w:rsidR="00FD528D" w:rsidRPr="008E25F4">
        <w:rPr>
          <w:rFonts w:cstheme="minorHAnsi"/>
        </w:rPr>
        <w:t>cier, le juge va prononcer un dé</w:t>
      </w:r>
      <w:r w:rsidR="00C50FEE" w:rsidRPr="008E25F4">
        <w:rPr>
          <w:rFonts w:cstheme="minorHAnsi"/>
        </w:rPr>
        <w:t>bet</w:t>
      </w:r>
      <w:r w:rsidR="001722D3" w:rsidRPr="008E25F4">
        <w:rPr>
          <w:rFonts w:cstheme="minorHAnsi"/>
        </w:rPr>
        <w:t xml:space="preserve"> qui est la somme due à une C</w:t>
      </w:r>
      <w:r w:rsidR="00A01454" w:rsidRPr="008E25F4">
        <w:rPr>
          <w:rFonts w:cstheme="minorHAnsi"/>
        </w:rPr>
        <w:t>T</w:t>
      </w:r>
      <w:r w:rsidR="001722D3" w:rsidRPr="008E25F4">
        <w:rPr>
          <w:rFonts w:cstheme="minorHAnsi"/>
        </w:rPr>
        <w:t xml:space="preserve"> ou à l’Etat par le comptable</w:t>
      </w:r>
      <w:r w:rsidR="00C50FEE" w:rsidRPr="008E25F4">
        <w:rPr>
          <w:rFonts w:cstheme="minorHAnsi"/>
        </w:rPr>
        <w:t>, avec possibilité d’une remise gracieuse partielle par le ministre en charge du budget</w:t>
      </w:r>
      <w:r w:rsidR="00335C44" w:rsidRPr="008E25F4">
        <w:rPr>
          <w:rFonts w:cstheme="minorHAnsi"/>
        </w:rPr>
        <w:t>,</w:t>
      </w:r>
      <w:r w:rsidR="00C50FEE" w:rsidRPr="008E25F4">
        <w:rPr>
          <w:rFonts w:cstheme="minorHAnsi"/>
        </w:rPr>
        <w:t xml:space="preserve"> le laissé à charge représente au minimum 3 pour mille du cautionnement, similaire à l’amende en cas d’absence de préjudice financier. </w:t>
      </w:r>
      <w:r w:rsidR="00FD528D" w:rsidRPr="008E25F4">
        <w:rPr>
          <w:rFonts w:cstheme="minorHAnsi"/>
        </w:rPr>
        <w:t>S</w:t>
      </w:r>
      <w:r w:rsidR="00C50FEE" w:rsidRPr="008E25F4">
        <w:rPr>
          <w:rFonts w:cstheme="minorHAnsi"/>
        </w:rPr>
        <w:t>’il n’y a pas de préjudice financier, le juge prononce « une somme non rémissible », c’est-à-dire une amende (</w:t>
      </w:r>
      <w:bookmarkStart w:id="30" w:name="_Hlk35440400"/>
      <w:proofErr w:type="spellStart"/>
      <w:r w:rsidR="00C50FEE" w:rsidRPr="008E25F4">
        <w:rPr>
          <w:rFonts w:cstheme="minorHAnsi"/>
        </w:rPr>
        <w:t>Damarey</w:t>
      </w:r>
      <w:proofErr w:type="spellEnd"/>
      <w:r w:rsidR="00C50FEE" w:rsidRPr="008E25F4">
        <w:rPr>
          <w:rFonts w:cstheme="minorHAnsi"/>
        </w:rPr>
        <w:t xml:space="preserve"> 2014</w:t>
      </w:r>
      <w:bookmarkEnd w:id="30"/>
      <w:r w:rsidR="00C23507" w:rsidRPr="008E25F4">
        <w:rPr>
          <w:rFonts w:cstheme="minorHAnsi"/>
        </w:rPr>
        <w:t>, p 2405</w:t>
      </w:r>
      <w:r w:rsidR="00C50FEE" w:rsidRPr="008E25F4">
        <w:rPr>
          <w:rFonts w:cstheme="minorHAnsi"/>
        </w:rPr>
        <w:t xml:space="preserve">), plafonnée à 1,5 pour mille du cautionnement. </w:t>
      </w:r>
      <w:r w:rsidR="00781E2B" w:rsidRPr="008E25F4">
        <w:rPr>
          <w:rFonts w:cstheme="minorHAnsi"/>
        </w:rPr>
        <w:t xml:space="preserve">Le préjudice financier pour la </w:t>
      </w:r>
      <w:r w:rsidR="00A01454" w:rsidRPr="008E25F4">
        <w:rPr>
          <w:rFonts w:cstheme="minorHAnsi"/>
        </w:rPr>
        <w:t>CT</w:t>
      </w:r>
      <w:r w:rsidR="00781E2B" w:rsidRPr="008E25F4">
        <w:rPr>
          <w:rFonts w:cstheme="minorHAnsi"/>
        </w:rPr>
        <w:t xml:space="preserve"> correspond à la perte d’utilité subie par le principal </w:t>
      </w:r>
      <w:r w:rsidR="0090535D" w:rsidRPr="008E25F4">
        <w:rPr>
          <w:rFonts w:cstheme="minorHAnsi"/>
        </w:rPr>
        <w:t>(J</w:t>
      </w:r>
      <w:r w:rsidR="00335C44" w:rsidRPr="008E25F4">
        <w:rPr>
          <w:rFonts w:cstheme="minorHAnsi"/>
        </w:rPr>
        <w:t>ensen</w:t>
      </w:r>
      <w:r w:rsidR="0090535D" w:rsidRPr="008E25F4">
        <w:rPr>
          <w:rFonts w:cstheme="minorHAnsi"/>
        </w:rPr>
        <w:t xml:space="preserve"> et M</w:t>
      </w:r>
      <w:r w:rsidR="00335C44" w:rsidRPr="008E25F4">
        <w:rPr>
          <w:rFonts w:cstheme="minorHAnsi"/>
        </w:rPr>
        <w:t>eckling</w:t>
      </w:r>
      <w:r w:rsidR="0090535D" w:rsidRPr="008E25F4">
        <w:rPr>
          <w:rFonts w:cstheme="minorHAnsi"/>
        </w:rPr>
        <w:t xml:space="preserve"> 1976) en rai</w:t>
      </w:r>
      <w:r w:rsidR="00270288" w:rsidRPr="008E25F4">
        <w:rPr>
          <w:rFonts w:cstheme="minorHAnsi"/>
        </w:rPr>
        <w:t xml:space="preserve">son de manquements du comptable, </w:t>
      </w:r>
      <w:r w:rsidR="0090535D" w:rsidRPr="008E25F4">
        <w:rPr>
          <w:rFonts w:cstheme="minorHAnsi"/>
        </w:rPr>
        <w:t xml:space="preserve">manquements </w:t>
      </w:r>
      <w:r w:rsidR="00270288" w:rsidRPr="008E25F4">
        <w:rPr>
          <w:rFonts w:cstheme="minorHAnsi"/>
        </w:rPr>
        <w:t xml:space="preserve">qui </w:t>
      </w:r>
      <w:r w:rsidR="0090535D" w:rsidRPr="008E25F4">
        <w:rPr>
          <w:rFonts w:cstheme="minorHAnsi"/>
        </w:rPr>
        <w:t xml:space="preserve">résulteraient </w:t>
      </w:r>
      <w:r w:rsidR="00270288" w:rsidRPr="008E25F4">
        <w:rPr>
          <w:rFonts w:cstheme="minorHAnsi"/>
        </w:rPr>
        <w:t>parfois de son</w:t>
      </w:r>
      <w:r w:rsidR="0090535D" w:rsidRPr="008E25F4">
        <w:rPr>
          <w:rFonts w:cstheme="minorHAnsi"/>
        </w:rPr>
        <w:t xml:space="preserve"> comportement opportuniste lié à la maximisation </w:t>
      </w:r>
      <w:r w:rsidR="00270288" w:rsidRPr="008E25F4">
        <w:rPr>
          <w:rFonts w:cstheme="minorHAnsi"/>
        </w:rPr>
        <w:t xml:space="preserve">de son utilité (gagner du temps, avoir de bonnes relations avec l’ordonnateur…). </w:t>
      </w:r>
      <w:r w:rsidR="001F7B63" w:rsidRPr="008E25F4">
        <w:rPr>
          <w:rFonts w:cstheme="minorHAnsi"/>
        </w:rPr>
        <w:t>La notion de préjudice financier est difficile à appréhender</w:t>
      </w:r>
      <w:r w:rsidR="001F7B63" w:rsidRPr="008E25F4">
        <w:rPr>
          <w:rStyle w:val="Appelnotedebasdep"/>
          <w:rFonts w:cstheme="minorHAnsi"/>
        </w:rPr>
        <w:footnoteReference w:id="7"/>
      </w:r>
      <w:r w:rsidR="001F7B63" w:rsidRPr="008E25F4">
        <w:rPr>
          <w:rFonts w:cstheme="minorHAnsi"/>
        </w:rPr>
        <w:t xml:space="preserve"> et ne serait pas un bon outil pour évaluer le niveau de responsabilité du comptable public (</w:t>
      </w:r>
      <w:bookmarkStart w:id="31" w:name="_Hlk35440419"/>
      <w:proofErr w:type="spellStart"/>
      <w:r w:rsidR="001F7B63" w:rsidRPr="008E25F4">
        <w:rPr>
          <w:rFonts w:cstheme="minorHAnsi"/>
        </w:rPr>
        <w:t>Damarey</w:t>
      </w:r>
      <w:proofErr w:type="spellEnd"/>
      <w:r w:rsidR="001F7B63" w:rsidRPr="008E25F4">
        <w:rPr>
          <w:rFonts w:cstheme="minorHAnsi"/>
        </w:rPr>
        <w:t xml:space="preserve"> 2019</w:t>
      </w:r>
      <w:r w:rsidR="00CB28C0" w:rsidRPr="008E25F4">
        <w:rPr>
          <w:rFonts w:cstheme="minorHAnsi"/>
        </w:rPr>
        <w:t>, p</w:t>
      </w:r>
      <w:r w:rsidR="00F4045A" w:rsidRPr="008E25F4">
        <w:rPr>
          <w:rFonts w:cstheme="minorHAnsi"/>
        </w:rPr>
        <w:t xml:space="preserve"> 81</w:t>
      </w:r>
      <w:r w:rsidR="00032FA5" w:rsidRPr="008E25F4">
        <w:rPr>
          <w:rFonts w:cstheme="minorHAnsi"/>
        </w:rPr>
        <w:t>). Des comptables publics se retrouvent sanctionnés parce qu’ils ont oublié</w:t>
      </w:r>
      <w:r w:rsidR="00656256" w:rsidRPr="008E25F4">
        <w:rPr>
          <w:rFonts w:cstheme="minorHAnsi"/>
        </w:rPr>
        <w:t xml:space="preserve"> </w:t>
      </w:r>
      <w:bookmarkEnd w:id="31"/>
      <w:r w:rsidR="00032FA5" w:rsidRPr="008E25F4">
        <w:rPr>
          <w:rFonts w:cstheme="minorHAnsi"/>
        </w:rPr>
        <w:t xml:space="preserve">de déclarer, pour une société en procédure collective, sa dette d’impôts envers l’Etat alors qu’à l’issue de la procédure, la société n’étant pas solvable, leur erreur est sans incidence sur </w:t>
      </w:r>
      <w:r w:rsidR="00FE520F" w:rsidRPr="008E25F4">
        <w:rPr>
          <w:rFonts w:cstheme="minorHAnsi"/>
        </w:rPr>
        <w:t>les finances de l’Etat (</w:t>
      </w:r>
      <w:proofErr w:type="spellStart"/>
      <w:r w:rsidR="00FE520F" w:rsidRPr="008E25F4">
        <w:rPr>
          <w:rFonts w:cstheme="minorHAnsi"/>
        </w:rPr>
        <w:t>Damarey</w:t>
      </w:r>
      <w:proofErr w:type="spellEnd"/>
      <w:r w:rsidR="00FE520F" w:rsidRPr="008E25F4">
        <w:rPr>
          <w:rFonts w:cstheme="minorHAnsi"/>
        </w:rPr>
        <w:t xml:space="preserve"> 2019</w:t>
      </w:r>
      <w:r w:rsidR="00F4045A" w:rsidRPr="008E25F4">
        <w:rPr>
          <w:rFonts w:cstheme="minorHAnsi"/>
        </w:rPr>
        <w:t>, p</w:t>
      </w:r>
      <w:r w:rsidR="005B6405">
        <w:rPr>
          <w:rFonts w:cstheme="minorHAnsi"/>
        </w:rPr>
        <w:t xml:space="preserve"> </w:t>
      </w:r>
      <w:r w:rsidR="00F4045A" w:rsidRPr="008E25F4">
        <w:rPr>
          <w:rFonts w:cstheme="minorHAnsi"/>
        </w:rPr>
        <w:t>81</w:t>
      </w:r>
      <w:r w:rsidR="001F7B63" w:rsidRPr="008E25F4">
        <w:rPr>
          <w:rFonts w:cstheme="minorHAnsi"/>
        </w:rPr>
        <w:t>).</w:t>
      </w:r>
      <w:r w:rsidR="003F22F7" w:rsidRPr="008E25F4">
        <w:rPr>
          <w:rFonts w:cstheme="minorHAnsi"/>
        </w:rPr>
        <w:t xml:space="preserve"> Il n’est pas rare aussi </w:t>
      </w:r>
      <w:r w:rsidR="00F72A08" w:rsidRPr="008E25F4">
        <w:rPr>
          <w:rFonts w:cstheme="minorHAnsi"/>
        </w:rPr>
        <w:t xml:space="preserve">qu’un comptable soit mis en cause alors qu’il </w:t>
      </w:r>
      <w:r w:rsidR="005B6405">
        <w:rPr>
          <w:rFonts w:cstheme="minorHAnsi"/>
        </w:rPr>
        <w:t>a opéré</w:t>
      </w:r>
      <w:r w:rsidR="00F72A08" w:rsidRPr="008E25F4">
        <w:rPr>
          <w:rFonts w:cstheme="minorHAnsi"/>
        </w:rPr>
        <w:t xml:space="preserve"> s</w:t>
      </w:r>
      <w:r w:rsidR="00E55363" w:rsidRPr="008E25F4">
        <w:rPr>
          <w:rFonts w:cstheme="minorHAnsi"/>
        </w:rPr>
        <w:t>ur</w:t>
      </w:r>
      <w:r w:rsidR="00F72A08" w:rsidRPr="008E25F4">
        <w:rPr>
          <w:rFonts w:cstheme="minorHAnsi"/>
        </w:rPr>
        <w:t xml:space="preserve"> instruction de l’ordonnateur (Le </w:t>
      </w:r>
      <w:proofErr w:type="spellStart"/>
      <w:r w:rsidR="00F72A08" w:rsidRPr="008E25F4">
        <w:rPr>
          <w:rFonts w:cstheme="minorHAnsi"/>
        </w:rPr>
        <w:t>Clainche</w:t>
      </w:r>
      <w:proofErr w:type="spellEnd"/>
      <w:r w:rsidR="00F72A08" w:rsidRPr="008E25F4">
        <w:rPr>
          <w:rFonts w:cstheme="minorHAnsi"/>
        </w:rPr>
        <w:t xml:space="preserve"> 2016</w:t>
      </w:r>
      <w:r w:rsidR="007839B2" w:rsidRPr="008E25F4">
        <w:rPr>
          <w:rFonts w:cstheme="minorHAnsi"/>
        </w:rPr>
        <w:t>, p 1098</w:t>
      </w:r>
      <w:r w:rsidR="0015653D" w:rsidRPr="008E25F4">
        <w:rPr>
          <w:rFonts w:cstheme="minorHAnsi"/>
        </w:rPr>
        <w:t>)</w:t>
      </w:r>
      <w:r w:rsidR="00AA0D10" w:rsidRPr="008E25F4">
        <w:rPr>
          <w:rFonts w:cstheme="minorHAnsi"/>
        </w:rPr>
        <w:t xml:space="preserve">. </w:t>
      </w:r>
      <w:r w:rsidR="005D2516" w:rsidRPr="008E25F4">
        <w:rPr>
          <w:rFonts w:cstheme="minorHAnsi"/>
        </w:rPr>
        <w:t>Un déséquilibre existe entre la mise en responsabilité du comptable et celle de l’ordonnateur</w:t>
      </w:r>
      <w:r w:rsidR="005B6405">
        <w:rPr>
          <w:rFonts w:cstheme="minorHAnsi"/>
        </w:rPr>
        <w:t>, lequel</w:t>
      </w:r>
      <w:r w:rsidR="005D2516" w:rsidRPr="008E25F4">
        <w:rPr>
          <w:rFonts w:cstheme="minorHAnsi"/>
        </w:rPr>
        <w:t xml:space="preserve"> demeure rarement poursuivi par la Cour de Discipline </w:t>
      </w:r>
      <w:r w:rsidR="005D2516" w:rsidRPr="008E25F4">
        <w:rPr>
          <w:rFonts w:cstheme="minorHAnsi"/>
        </w:rPr>
        <w:lastRenderedPageBreak/>
        <w:t>Budgétaire et Financière</w:t>
      </w:r>
      <w:r w:rsidR="004E2CD6" w:rsidRPr="008E25F4">
        <w:rPr>
          <w:rStyle w:val="Appelnotedebasdep"/>
          <w:rFonts w:cstheme="minorHAnsi"/>
        </w:rPr>
        <w:footnoteReference w:id="8"/>
      </w:r>
      <w:r w:rsidR="004E2CD6" w:rsidRPr="008E25F4">
        <w:rPr>
          <w:rFonts w:cstheme="minorHAnsi"/>
        </w:rPr>
        <w:t xml:space="preserve">. L’ordonnateur d’une </w:t>
      </w:r>
      <w:r w:rsidR="008B4EA7" w:rsidRPr="008E25F4">
        <w:rPr>
          <w:rFonts w:cstheme="minorHAnsi"/>
        </w:rPr>
        <w:t>C</w:t>
      </w:r>
      <w:r w:rsidR="004D4731" w:rsidRPr="008E25F4">
        <w:rPr>
          <w:rFonts w:cstheme="minorHAnsi"/>
        </w:rPr>
        <w:t>T</w:t>
      </w:r>
      <w:r w:rsidR="004E2CD6" w:rsidRPr="008E25F4">
        <w:rPr>
          <w:rFonts w:cstheme="minorHAnsi"/>
        </w:rPr>
        <w:t>, comme un ministre, est exclu du champ de cette juridiction au motif que sa responsabilité financière et administrative est indissociable de sa responsabilité politique</w:t>
      </w:r>
      <w:r w:rsidR="00D41042" w:rsidRPr="008E25F4">
        <w:rPr>
          <w:rFonts w:cstheme="minorHAnsi"/>
        </w:rPr>
        <w:t xml:space="preserve"> </w:t>
      </w:r>
      <w:bookmarkStart w:id="32" w:name="_Hlk35440430"/>
      <w:r w:rsidR="00D41042" w:rsidRPr="008E25F4">
        <w:rPr>
          <w:rFonts w:cstheme="minorHAnsi"/>
        </w:rPr>
        <w:t>(Migaud 2018</w:t>
      </w:r>
      <w:bookmarkEnd w:id="32"/>
      <w:r w:rsidR="00235D2B" w:rsidRPr="008E25F4">
        <w:rPr>
          <w:rFonts w:cstheme="minorHAnsi"/>
        </w:rPr>
        <w:t>, p74</w:t>
      </w:r>
      <w:r w:rsidR="00D41042" w:rsidRPr="008E25F4">
        <w:rPr>
          <w:rFonts w:cstheme="minorHAnsi"/>
        </w:rPr>
        <w:t>)</w:t>
      </w:r>
      <w:r w:rsidR="004E2CD6" w:rsidRPr="008E25F4">
        <w:rPr>
          <w:rFonts w:cstheme="minorHAnsi"/>
        </w:rPr>
        <w:t xml:space="preserve">, qui elle se trouvera éventuellement sanctionnée par le vote des citoyens. </w:t>
      </w:r>
      <w:r w:rsidR="002F0FD5" w:rsidRPr="008E25F4">
        <w:rPr>
          <w:rFonts w:cstheme="minorHAnsi"/>
        </w:rPr>
        <w:t>Or un gestionnaire public doit être responsable des fonds qu’il administre.</w:t>
      </w:r>
      <w:r w:rsidR="003D029F" w:rsidRPr="008E25F4">
        <w:rPr>
          <w:rFonts w:cstheme="minorHAnsi"/>
        </w:rPr>
        <w:t xml:space="preserve"> U</w:t>
      </w:r>
      <w:r w:rsidR="00D41042" w:rsidRPr="008E25F4">
        <w:rPr>
          <w:rFonts w:cstheme="minorHAnsi"/>
        </w:rPr>
        <w:t xml:space="preserve">ne faute de gestion </w:t>
      </w:r>
      <w:r w:rsidR="003D029F" w:rsidRPr="008E25F4">
        <w:rPr>
          <w:rFonts w:cstheme="minorHAnsi"/>
        </w:rPr>
        <w:t>intentionnelle de</w:t>
      </w:r>
      <w:r w:rsidR="00D41042" w:rsidRPr="008E25F4">
        <w:rPr>
          <w:rFonts w:cstheme="minorHAnsi"/>
        </w:rPr>
        <w:t xml:space="preserve"> l’ordonnateur demeure non sanctionnée</w:t>
      </w:r>
      <w:r w:rsidR="00AA0D10" w:rsidRPr="008E25F4">
        <w:rPr>
          <w:rFonts w:cstheme="minorHAnsi"/>
        </w:rPr>
        <w:t>. Il arrive qu’un comptable soit sanctionné parce que l’ordonnateur ne peut pas l’être (Mariel 2018</w:t>
      </w:r>
      <w:r w:rsidR="00AC7868" w:rsidRPr="008E25F4">
        <w:rPr>
          <w:rFonts w:cstheme="minorHAnsi"/>
        </w:rPr>
        <w:t xml:space="preserve">, p </w:t>
      </w:r>
      <w:r w:rsidR="007839B2" w:rsidRPr="008E25F4">
        <w:rPr>
          <w:rFonts w:cstheme="minorHAnsi"/>
        </w:rPr>
        <w:t>100</w:t>
      </w:r>
      <w:r w:rsidR="00AA0D10" w:rsidRPr="008E25F4">
        <w:rPr>
          <w:rFonts w:cstheme="minorHAnsi"/>
        </w:rPr>
        <w:t xml:space="preserve">). </w:t>
      </w:r>
      <w:r w:rsidR="00ED2A10" w:rsidRPr="008E25F4">
        <w:rPr>
          <w:rFonts w:cstheme="minorHAnsi"/>
        </w:rPr>
        <w:t>Cette asymétrie de responsabilités en pratique entre ordonnateur et comptable peut générer des conflits (</w:t>
      </w:r>
      <w:bookmarkStart w:id="33" w:name="_Hlk35440450"/>
      <w:r w:rsidR="00ED2A10" w:rsidRPr="008E25F4">
        <w:rPr>
          <w:rFonts w:cstheme="minorHAnsi"/>
        </w:rPr>
        <w:t>Mariel 2017</w:t>
      </w:r>
      <w:bookmarkEnd w:id="33"/>
      <w:r w:rsidR="00AC7868" w:rsidRPr="008E25F4">
        <w:rPr>
          <w:rFonts w:cstheme="minorHAnsi"/>
        </w:rPr>
        <w:t>, p 71</w:t>
      </w:r>
      <w:r w:rsidR="00ED2A10" w:rsidRPr="008E25F4">
        <w:rPr>
          <w:rFonts w:cstheme="minorHAnsi"/>
        </w:rPr>
        <w:t>).</w:t>
      </w:r>
      <w:r w:rsidR="002F0FD5" w:rsidRPr="008E25F4">
        <w:rPr>
          <w:rFonts w:cstheme="minorHAnsi"/>
        </w:rPr>
        <w:t xml:space="preserve"> IL est possible que le comptable public suspende le paiement d'une dépense à la suite d’un mandat émis par la </w:t>
      </w:r>
      <w:r w:rsidR="00A01454" w:rsidRPr="008E25F4">
        <w:rPr>
          <w:rFonts w:cstheme="minorHAnsi"/>
        </w:rPr>
        <w:t>CT</w:t>
      </w:r>
      <w:r w:rsidR="002F0FD5" w:rsidRPr="008E25F4">
        <w:rPr>
          <w:rFonts w:cstheme="minorHAnsi"/>
        </w:rPr>
        <w:t>, l'ordonnateur peut requérir par écrit et sous sa responsabilité le comptable de payer</w:t>
      </w:r>
      <w:r w:rsidR="0050685B" w:rsidRPr="008E25F4">
        <w:rPr>
          <w:rFonts w:cstheme="minorHAnsi"/>
        </w:rPr>
        <w:t>.</w:t>
      </w:r>
      <w:r w:rsidR="00D07506" w:rsidRPr="008E25F4">
        <w:rPr>
          <w:rFonts w:cstheme="minorHAnsi"/>
        </w:rPr>
        <w:t xml:space="preserve"> </w:t>
      </w:r>
      <w:r w:rsidR="002F0FD5" w:rsidRPr="008E25F4">
        <w:rPr>
          <w:rFonts w:cstheme="minorHAnsi"/>
        </w:rPr>
        <w:t>La réquisition constitue un mode de résolution des conflits entre ordonnateur et comptable mais reste peu utilisée car génère un transfert de responsabilité entre les deux personnes.</w:t>
      </w:r>
    </w:p>
    <w:p w14:paraId="23B37DAC" w14:textId="58212B89" w:rsidR="00970CA1" w:rsidRPr="008E25F4" w:rsidRDefault="0050586F" w:rsidP="00932E08">
      <w:pPr>
        <w:suppressAutoHyphens/>
        <w:jc w:val="both"/>
        <w:rPr>
          <w:rFonts w:cstheme="minorHAnsi"/>
        </w:rPr>
      </w:pPr>
      <w:r w:rsidRPr="008E25F4">
        <w:rPr>
          <w:rFonts w:cstheme="minorHAnsi"/>
        </w:rPr>
        <w:t>Comme nous</w:t>
      </w:r>
      <w:r w:rsidR="0013492B" w:rsidRPr="008E25F4">
        <w:rPr>
          <w:rFonts w:cstheme="minorHAnsi"/>
        </w:rPr>
        <w:t xml:space="preserve"> l’a</w:t>
      </w:r>
      <w:r w:rsidRPr="008E25F4">
        <w:rPr>
          <w:rFonts w:cstheme="minorHAnsi"/>
        </w:rPr>
        <w:t>vons</w:t>
      </w:r>
      <w:r w:rsidR="002D5E7B" w:rsidRPr="008E25F4">
        <w:rPr>
          <w:rFonts w:cstheme="minorHAnsi"/>
        </w:rPr>
        <w:t xml:space="preserve"> déjà </w:t>
      </w:r>
      <w:r w:rsidR="0013492B" w:rsidRPr="008E25F4">
        <w:rPr>
          <w:rFonts w:cstheme="minorHAnsi"/>
        </w:rPr>
        <w:t xml:space="preserve">souligné </w:t>
      </w:r>
      <w:r w:rsidRPr="008E25F4">
        <w:rPr>
          <w:rFonts w:cstheme="minorHAnsi"/>
        </w:rPr>
        <w:t xml:space="preserve">dans le cadre de la relation citoyens-élu, </w:t>
      </w:r>
      <w:r w:rsidR="0013492B" w:rsidRPr="008E25F4">
        <w:rPr>
          <w:rFonts w:cstheme="minorHAnsi"/>
        </w:rPr>
        <w:t>et contrairement à la théorie de l’agence, il n’existe pas</w:t>
      </w:r>
      <w:r w:rsidR="00B52350" w:rsidRPr="008E25F4">
        <w:rPr>
          <w:rFonts w:cstheme="minorHAnsi"/>
        </w:rPr>
        <w:t xml:space="preserve"> d’incit</w:t>
      </w:r>
      <w:r w:rsidRPr="008E25F4">
        <w:rPr>
          <w:rFonts w:cstheme="minorHAnsi"/>
        </w:rPr>
        <w:t>ation</w:t>
      </w:r>
      <w:r w:rsidR="00F97885" w:rsidRPr="008E25F4">
        <w:rPr>
          <w:rFonts w:cstheme="minorHAnsi"/>
        </w:rPr>
        <w:t>s</w:t>
      </w:r>
      <w:r w:rsidRPr="008E25F4">
        <w:rPr>
          <w:rFonts w:cstheme="minorHAnsi"/>
        </w:rPr>
        <w:t xml:space="preserve"> financière</w:t>
      </w:r>
      <w:r w:rsidR="00F97885" w:rsidRPr="008E25F4">
        <w:rPr>
          <w:rFonts w:cstheme="minorHAnsi"/>
        </w:rPr>
        <w:t>s</w:t>
      </w:r>
      <w:r w:rsidRPr="008E25F4">
        <w:rPr>
          <w:rFonts w:cstheme="minorHAnsi"/>
        </w:rPr>
        <w:t xml:space="preserve"> pour l’ordonnateur</w:t>
      </w:r>
      <w:r w:rsidR="00CA71C5" w:rsidRPr="008E25F4">
        <w:rPr>
          <w:rFonts w:cstheme="minorHAnsi"/>
        </w:rPr>
        <w:t>,</w:t>
      </w:r>
      <w:r w:rsidRPr="008E25F4">
        <w:rPr>
          <w:rFonts w:cstheme="minorHAnsi"/>
        </w:rPr>
        <w:t xml:space="preserve"> pour le </w:t>
      </w:r>
      <w:r w:rsidR="0013492B" w:rsidRPr="008E25F4">
        <w:rPr>
          <w:rFonts w:cstheme="minorHAnsi"/>
        </w:rPr>
        <w:t xml:space="preserve">comptable </w:t>
      </w:r>
      <w:r w:rsidR="00CA71C5" w:rsidRPr="008E25F4">
        <w:rPr>
          <w:rFonts w:cstheme="minorHAnsi"/>
        </w:rPr>
        <w:t xml:space="preserve">et pour les salariés </w:t>
      </w:r>
      <w:r w:rsidR="0013492B" w:rsidRPr="008E25F4">
        <w:rPr>
          <w:rFonts w:cstheme="minorHAnsi"/>
        </w:rPr>
        <w:t xml:space="preserve">en </w:t>
      </w:r>
      <w:r w:rsidR="008B4EA7" w:rsidRPr="008E25F4">
        <w:rPr>
          <w:rFonts w:cstheme="minorHAnsi"/>
        </w:rPr>
        <w:t>C</w:t>
      </w:r>
      <w:r w:rsidR="004D4731" w:rsidRPr="008E25F4">
        <w:rPr>
          <w:rFonts w:cstheme="minorHAnsi"/>
        </w:rPr>
        <w:t>T</w:t>
      </w:r>
      <w:r w:rsidR="0013492B" w:rsidRPr="008E25F4">
        <w:rPr>
          <w:rFonts w:cstheme="minorHAnsi"/>
        </w:rPr>
        <w:t>, assimilables à des organisati</w:t>
      </w:r>
      <w:r w:rsidRPr="008E25F4">
        <w:rPr>
          <w:rFonts w:cstheme="minorHAnsi"/>
        </w:rPr>
        <w:t>on</w:t>
      </w:r>
      <w:r w:rsidR="0013492B" w:rsidRPr="008E25F4">
        <w:rPr>
          <w:rFonts w:cstheme="minorHAnsi"/>
        </w:rPr>
        <w:t>s sans but lucratif</w:t>
      </w:r>
      <w:r w:rsidR="00A358D0" w:rsidRPr="008E25F4">
        <w:rPr>
          <w:rFonts w:cstheme="minorHAnsi"/>
        </w:rPr>
        <w:t xml:space="preserve">, </w:t>
      </w:r>
      <w:r w:rsidR="00F97885" w:rsidRPr="008E25F4">
        <w:rPr>
          <w:rFonts w:cstheme="minorHAnsi"/>
        </w:rPr>
        <w:t xml:space="preserve">incitations pécuniaires qui les motiveraient à agir dans l’intérêt de l’organisation administrée. </w:t>
      </w:r>
      <w:r w:rsidR="007B38A1" w:rsidRPr="008E25F4">
        <w:rPr>
          <w:rFonts w:cstheme="minorHAnsi"/>
        </w:rPr>
        <w:t>Dixit (1997</w:t>
      </w:r>
      <w:r w:rsidR="00666708" w:rsidRPr="008E25F4">
        <w:rPr>
          <w:rFonts w:cstheme="minorHAnsi"/>
        </w:rPr>
        <w:t>, p 381</w:t>
      </w:r>
      <w:r w:rsidR="007B38A1" w:rsidRPr="008E25F4">
        <w:rPr>
          <w:rFonts w:cstheme="minorHAnsi"/>
        </w:rPr>
        <w:t>)</w:t>
      </w:r>
      <w:r w:rsidR="00141DD4" w:rsidRPr="008E25F4">
        <w:rPr>
          <w:rFonts w:cstheme="minorHAnsi"/>
        </w:rPr>
        <w:t xml:space="preserve"> et </w:t>
      </w:r>
      <w:proofErr w:type="spellStart"/>
      <w:r w:rsidR="00123AE4" w:rsidRPr="008E25F4">
        <w:rPr>
          <w:rFonts w:cstheme="minorHAnsi"/>
        </w:rPr>
        <w:t>Proper</w:t>
      </w:r>
      <w:proofErr w:type="spellEnd"/>
      <w:r w:rsidR="00123AE4" w:rsidRPr="008E25F4">
        <w:rPr>
          <w:rFonts w:cstheme="minorHAnsi"/>
        </w:rPr>
        <w:t xml:space="preserve"> et Wilson (</w:t>
      </w:r>
      <w:r w:rsidR="00BF4C43" w:rsidRPr="008E25F4">
        <w:rPr>
          <w:rFonts w:cstheme="minorHAnsi"/>
        </w:rPr>
        <w:t>2003</w:t>
      </w:r>
      <w:r w:rsidR="00666708" w:rsidRPr="008E25F4">
        <w:rPr>
          <w:rFonts w:cstheme="minorHAnsi"/>
        </w:rPr>
        <w:t>, p 252</w:t>
      </w:r>
      <w:r w:rsidR="00BF4C43" w:rsidRPr="008E25F4">
        <w:rPr>
          <w:rFonts w:cstheme="minorHAnsi"/>
        </w:rPr>
        <w:t>) considèrent que les incitations financières sont moins efficaces dans le secteur public qu’</w:t>
      </w:r>
      <w:r w:rsidR="00CA71C5" w:rsidRPr="008E25F4">
        <w:rPr>
          <w:rFonts w:cstheme="minorHAnsi"/>
        </w:rPr>
        <w:t xml:space="preserve">en </w:t>
      </w:r>
      <w:r w:rsidR="00BF4C43" w:rsidRPr="008E25F4">
        <w:rPr>
          <w:rFonts w:cstheme="minorHAnsi"/>
        </w:rPr>
        <w:t>entreprises privées car les individus des organisations publiques ont une aversion supérieur</w:t>
      </w:r>
      <w:r w:rsidR="00CA71C5" w:rsidRPr="008E25F4">
        <w:rPr>
          <w:rFonts w:cstheme="minorHAnsi"/>
        </w:rPr>
        <w:t>e</w:t>
      </w:r>
      <w:r w:rsidR="00BF4C43" w:rsidRPr="008E25F4">
        <w:rPr>
          <w:rFonts w:cstheme="minorHAnsi"/>
        </w:rPr>
        <w:t xml:space="preserve"> par rapport au risque</w:t>
      </w:r>
      <w:r w:rsidR="00CA71C5" w:rsidRPr="008E25F4">
        <w:rPr>
          <w:rFonts w:cstheme="minorHAnsi"/>
        </w:rPr>
        <w:t>, notamment parce qu’ils ont fait des investissements de carrière spécifiques et qu</w:t>
      </w:r>
      <w:r w:rsidR="00A01454" w:rsidRPr="008E25F4">
        <w:rPr>
          <w:rFonts w:cstheme="minorHAnsi"/>
        </w:rPr>
        <w:t>’ils</w:t>
      </w:r>
      <w:r w:rsidR="00CA71C5" w:rsidRPr="008E25F4">
        <w:rPr>
          <w:rFonts w:cstheme="minorHAnsi"/>
        </w:rPr>
        <w:t xml:space="preserve"> sont davantage motivées par les avantages non pécuniaires</w:t>
      </w:r>
      <w:r w:rsidR="00EE09B6" w:rsidRPr="008E25F4">
        <w:rPr>
          <w:rFonts w:cstheme="minorHAnsi"/>
        </w:rPr>
        <w:t xml:space="preserve"> conformes à la théorie de l’intendance</w:t>
      </w:r>
      <w:r w:rsidR="00CA71C5" w:rsidRPr="008E25F4">
        <w:rPr>
          <w:rFonts w:cstheme="minorHAnsi"/>
        </w:rPr>
        <w:t xml:space="preserve">. </w:t>
      </w:r>
    </w:p>
    <w:p w14:paraId="37E8EC54" w14:textId="77777777" w:rsidR="00321475" w:rsidRPr="008E25F4" w:rsidRDefault="00321475" w:rsidP="00932E08">
      <w:pPr>
        <w:suppressAutoHyphens/>
        <w:jc w:val="both"/>
        <w:rPr>
          <w:rFonts w:cstheme="minorHAnsi"/>
        </w:rPr>
      </w:pPr>
    </w:p>
    <w:p w14:paraId="7DBF245F" w14:textId="5D3734E3" w:rsidR="00321475" w:rsidRPr="008E25F4" w:rsidRDefault="00106098" w:rsidP="00620E10">
      <w:pPr>
        <w:suppressAutoHyphens/>
        <w:spacing w:before="360" w:after="240"/>
        <w:jc w:val="both"/>
        <w:rPr>
          <w:rStyle w:val="Titre2Car"/>
          <w:rFonts w:asciiTheme="minorHAnsi" w:eastAsiaTheme="minorHAnsi" w:hAnsiTheme="minorHAnsi" w:cstheme="minorHAnsi"/>
          <w:sz w:val="22"/>
          <w:szCs w:val="22"/>
        </w:rPr>
      </w:pPr>
      <w:r w:rsidRPr="008E25F4">
        <w:rPr>
          <w:rFonts w:cstheme="minorHAnsi"/>
          <w:b/>
        </w:rPr>
        <w:t>2</w:t>
      </w:r>
      <w:r w:rsidR="00F8392F">
        <w:rPr>
          <w:rFonts w:cstheme="minorHAnsi"/>
          <w:b/>
        </w:rPr>
        <w:t>.2</w:t>
      </w:r>
      <w:r w:rsidRPr="008E25F4">
        <w:rPr>
          <w:rStyle w:val="Titre2Car"/>
          <w:rFonts w:asciiTheme="minorHAnsi" w:eastAsiaTheme="minorHAnsi" w:hAnsiTheme="minorHAnsi" w:cstheme="minorHAnsi"/>
          <w:sz w:val="22"/>
          <w:szCs w:val="22"/>
        </w:rPr>
        <w:t>.</w:t>
      </w:r>
      <w:r w:rsidR="00F8392F">
        <w:rPr>
          <w:rStyle w:val="Titre2Car"/>
          <w:rFonts w:asciiTheme="minorHAnsi" w:eastAsiaTheme="minorHAnsi" w:hAnsiTheme="minorHAnsi" w:cstheme="minorHAnsi"/>
          <w:sz w:val="22"/>
          <w:szCs w:val="22"/>
        </w:rPr>
        <w:t xml:space="preserve"> </w:t>
      </w:r>
      <w:r w:rsidR="00582CC2" w:rsidRPr="008E25F4">
        <w:rPr>
          <w:rStyle w:val="Titre2Car"/>
          <w:rFonts w:asciiTheme="minorHAnsi" w:eastAsiaTheme="minorHAnsi" w:hAnsiTheme="minorHAnsi" w:cstheme="minorHAnsi"/>
          <w:sz w:val="22"/>
          <w:szCs w:val="22"/>
        </w:rPr>
        <w:t>La réforme comptable induite par la certification des comptes favorise un contexte d</w:t>
      </w:r>
      <w:r w:rsidR="00321475" w:rsidRPr="008E25F4">
        <w:rPr>
          <w:rStyle w:val="Titre2Car"/>
          <w:rFonts w:asciiTheme="minorHAnsi" w:eastAsiaTheme="minorHAnsi" w:hAnsiTheme="minorHAnsi" w:cstheme="minorHAnsi"/>
          <w:sz w:val="22"/>
          <w:szCs w:val="22"/>
        </w:rPr>
        <w:t>’intendance</w:t>
      </w:r>
    </w:p>
    <w:p w14:paraId="744515C3" w14:textId="3BC6EFA2" w:rsidR="002A6AC2" w:rsidRPr="008E25F4" w:rsidRDefault="007605A2" w:rsidP="00932E08">
      <w:pPr>
        <w:suppressAutoHyphens/>
        <w:jc w:val="both"/>
        <w:rPr>
          <w:rFonts w:cstheme="minorHAnsi"/>
        </w:rPr>
      </w:pPr>
      <w:r w:rsidRPr="008E25F4">
        <w:rPr>
          <w:rFonts w:cstheme="minorHAnsi"/>
        </w:rPr>
        <w:t>Le Compte de Gestion n’a pas</w:t>
      </w:r>
      <w:r w:rsidR="00423C78" w:rsidRPr="008E25F4">
        <w:rPr>
          <w:rFonts w:cstheme="minorHAnsi"/>
        </w:rPr>
        <w:t xml:space="preserve"> pour finalité première d’informer les tiers et l’ordonnateur sur la situation patrimoniale et financière de la</w:t>
      </w:r>
      <w:r w:rsidR="004D4731" w:rsidRPr="008E25F4">
        <w:rPr>
          <w:rFonts w:cstheme="minorHAnsi"/>
        </w:rPr>
        <w:t xml:space="preserve"> CT</w:t>
      </w:r>
      <w:r w:rsidR="00423C78" w:rsidRPr="008E25F4">
        <w:rPr>
          <w:rFonts w:cstheme="minorHAnsi"/>
        </w:rPr>
        <w:t xml:space="preserve"> mais d’être communiqué au juge des comptes </w:t>
      </w:r>
      <w:r w:rsidR="00A01454" w:rsidRPr="008E25F4">
        <w:rPr>
          <w:rFonts w:cstheme="minorHAnsi"/>
        </w:rPr>
        <w:t>de la</w:t>
      </w:r>
      <w:r w:rsidR="00423C78" w:rsidRPr="008E25F4">
        <w:rPr>
          <w:rFonts w:cstheme="minorHAnsi"/>
        </w:rPr>
        <w:t xml:space="preserve"> </w:t>
      </w:r>
      <w:r w:rsidR="004D4731" w:rsidRPr="008E25F4">
        <w:rPr>
          <w:rFonts w:cstheme="minorHAnsi"/>
        </w:rPr>
        <w:t>CRC</w:t>
      </w:r>
      <w:r w:rsidR="00423C78" w:rsidRPr="008E25F4">
        <w:rPr>
          <w:rFonts w:cstheme="minorHAnsi"/>
        </w:rPr>
        <w:t xml:space="preserve"> pour vérifier la mission de contrôle du comptable. </w:t>
      </w:r>
      <w:r w:rsidR="00761ECD" w:rsidRPr="008E25F4">
        <w:rPr>
          <w:rFonts w:cstheme="minorHAnsi"/>
        </w:rPr>
        <w:t>Actuellement, le comptable n’est pas sanctionné pour avoir enfreint une norme comptable mais pour avoir omis un contrôle qu’il aurait d</w:t>
      </w:r>
      <w:r w:rsidR="00DC4FD3" w:rsidRPr="008E25F4">
        <w:rPr>
          <w:rFonts w:cstheme="minorHAnsi"/>
        </w:rPr>
        <w:t>û accomplir</w:t>
      </w:r>
      <w:r w:rsidR="00761ECD" w:rsidRPr="008E25F4">
        <w:rPr>
          <w:rFonts w:cstheme="minorHAnsi"/>
        </w:rPr>
        <w:t xml:space="preserve"> (</w:t>
      </w:r>
      <w:bookmarkStart w:id="34" w:name="_Hlk35440483"/>
      <w:proofErr w:type="spellStart"/>
      <w:r w:rsidR="00761ECD" w:rsidRPr="008E25F4">
        <w:rPr>
          <w:rFonts w:cstheme="minorHAnsi"/>
        </w:rPr>
        <w:t>Girardi</w:t>
      </w:r>
      <w:proofErr w:type="spellEnd"/>
      <w:r w:rsidR="00761ECD" w:rsidRPr="008E25F4">
        <w:rPr>
          <w:rFonts w:cstheme="minorHAnsi"/>
        </w:rPr>
        <w:t xml:space="preserve"> 201</w:t>
      </w:r>
      <w:bookmarkEnd w:id="34"/>
      <w:r w:rsidR="005369B8" w:rsidRPr="008E25F4">
        <w:rPr>
          <w:rFonts w:cstheme="minorHAnsi"/>
        </w:rPr>
        <w:t>7</w:t>
      </w:r>
      <w:r w:rsidR="00974802" w:rsidRPr="008E25F4">
        <w:rPr>
          <w:rFonts w:cstheme="minorHAnsi"/>
        </w:rPr>
        <w:t>, p 96</w:t>
      </w:r>
      <w:r w:rsidR="00657595" w:rsidRPr="008E25F4">
        <w:rPr>
          <w:rFonts w:cstheme="minorHAnsi"/>
        </w:rPr>
        <w:t xml:space="preserve">, </w:t>
      </w:r>
      <w:proofErr w:type="spellStart"/>
      <w:r w:rsidR="009C00D9" w:rsidRPr="008E25F4">
        <w:rPr>
          <w:rFonts w:cstheme="minorHAnsi"/>
        </w:rPr>
        <w:t>Adens</w:t>
      </w:r>
      <w:proofErr w:type="spellEnd"/>
      <w:r w:rsidR="003D029F" w:rsidRPr="008E25F4">
        <w:rPr>
          <w:rFonts w:cstheme="minorHAnsi"/>
        </w:rPr>
        <w:t xml:space="preserve"> </w:t>
      </w:r>
      <w:r w:rsidR="009C00D9" w:rsidRPr="008E25F4">
        <w:rPr>
          <w:rFonts w:cstheme="minorHAnsi"/>
        </w:rPr>
        <w:t>2018</w:t>
      </w:r>
      <w:r w:rsidR="00666708" w:rsidRPr="008E25F4">
        <w:rPr>
          <w:rFonts w:cstheme="minorHAnsi"/>
        </w:rPr>
        <w:t>, p 81</w:t>
      </w:r>
      <w:r w:rsidR="00761ECD" w:rsidRPr="008E25F4">
        <w:rPr>
          <w:rFonts w:cstheme="minorHAnsi"/>
        </w:rPr>
        <w:t xml:space="preserve">), </w:t>
      </w:r>
      <w:r w:rsidR="009C00D9" w:rsidRPr="008E25F4">
        <w:rPr>
          <w:rFonts w:cstheme="minorHAnsi"/>
        </w:rPr>
        <w:t>alors que la loi exige la régularité et la sincérité des comptes publics. O</w:t>
      </w:r>
      <w:r w:rsidR="00DC4FD3" w:rsidRPr="008E25F4">
        <w:rPr>
          <w:rFonts w:cstheme="minorHAnsi"/>
        </w:rPr>
        <w:t xml:space="preserve">n est en droit de s’interroger sur le rôle de </w:t>
      </w:r>
      <w:r w:rsidR="00761ECD" w:rsidRPr="008E25F4">
        <w:rPr>
          <w:rFonts w:cstheme="minorHAnsi"/>
        </w:rPr>
        <w:t xml:space="preserve">la certification des comptes </w:t>
      </w:r>
      <w:r w:rsidR="00DC4FD3" w:rsidRPr="008E25F4">
        <w:rPr>
          <w:rFonts w:cstheme="minorHAnsi"/>
        </w:rPr>
        <w:t>dans la responsabilité de cette partie prenante</w:t>
      </w:r>
      <w:r w:rsidR="005A37DF" w:rsidRPr="008E25F4">
        <w:rPr>
          <w:rFonts w:cstheme="minorHAnsi"/>
        </w:rPr>
        <w:t xml:space="preserve"> notamment parce que son introduction génère un nouveau document comptable, le Compte Financier Unique (CFU)</w:t>
      </w:r>
      <w:r w:rsidR="0009586C" w:rsidRPr="008E25F4">
        <w:rPr>
          <w:rFonts w:cstheme="minorHAnsi"/>
        </w:rPr>
        <w:t xml:space="preserve"> dont la </w:t>
      </w:r>
      <w:r w:rsidR="008C1A64" w:rsidRPr="008E25F4">
        <w:rPr>
          <w:rFonts w:cstheme="minorHAnsi"/>
        </w:rPr>
        <w:t>réalisation va nécessiter des changements organisationnels et comportementaux</w:t>
      </w:r>
      <w:r w:rsidR="003D029F" w:rsidRPr="008E25F4">
        <w:rPr>
          <w:rFonts w:cstheme="minorHAnsi"/>
        </w:rPr>
        <w:t xml:space="preserve"> au sein des </w:t>
      </w:r>
      <w:r w:rsidR="008B4EA7" w:rsidRPr="008E25F4">
        <w:rPr>
          <w:rFonts w:cstheme="minorHAnsi"/>
        </w:rPr>
        <w:t>C</w:t>
      </w:r>
      <w:r w:rsidR="004D4731" w:rsidRPr="008E25F4">
        <w:rPr>
          <w:rFonts w:cstheme="minorHAnsi"/>
        </w:rPr>
        <w:t>T</w:t>
      </w:r>
      <w:r w:rsidR="008C1A64" w:rsidRPr="008E25F4">
        <w:rPr>
          <w:rFonts w:cstheme="minorHAnsi"/>
        </w:rPr>
        <w:t xml:space="preserve">. </w:t>
      </w:r>
      <w:r w:rsidR="008931FF" w:rsidRPr="008E25F4">
        <w:rPr>
          <w:rFonts w:cstheme="minorHAnsi"/>
        </w:rPr>
        <w:t>L</w:t>
      </w:r>
      <w:r w:rsidR="005A37DF" w:rsidRPr="008E25F4">
        <w:rPr>
          <w:rFonts w:cstheme="minorHAnsi"/>
        </w:rPr>
        <w:t xml:space="preserve">e </w:t>
      </w:r>
      <w:r w:rsidR="003C2206" w:rsidRPr="008E25F4">
        <w:rPr>
          <w:rFonts w:cstheme="minorHAnsi"/>
        </w:rPr>
        <w:t xml:space="preserve">CFU va </w:t>
      </w:r>
      <w:r w:rsidR="0050461A" w:rsidRPr="008E25F4">
        <w:rPr>
          <w:rFonts w:cstheme="minorHAnsi"/>
        </w:rPr>
        <w:t>engendrer</w:t>
      </w:r>
      <w:r w:rsidR="003C2206" w:rsidRPr="008E25F4">
        <w:rPr>
          <w:rFonts w:cstheme="minorHAnsi"/>
        </w:rPr>
        <w:t xml:space="preserve"> un</w:t>
      </w:r>
      <w:r w:rsidR="00257951" w:rsidRPr="008E25F4">
        <w:rPr>
          <w:rFonts w:cstheme="minorHAnsi"/>
        </w:rPr>
        <w:t xml:space="preserve"> rapprochement</w:t>
      </w:r>
      <w:r w:rsidR="003C2206" w:rsidRPr="008E25F4">
        <w:rPr>
          <w:rFonts w:cstheme="minorHAnsi"/>
        </w:rPr>
        <w:t xml:space="preserve"> </w:t>
      </w:r>
      <w:r w:rsidR="006326D9" w:rsidRPr="008E25F4">
        <w:rPr>
          <w:rFonts w:cstheme="minorHAnsi"/>
        </w:rPr>
        <w:t>entre l’ordonnateur et le</w:t>
      </w:r>
      <w:r w:rsidR="008931FF" w:rsidRPr="008E25F4">
        <w:rPr>
          <w:rFonts w:cstheme="minorHAnsi"/>
        </w:rPr>
        <w:t xml:space="preserve"> comptable </w:t>
      </w:r>
      <w:r w:rsidR="006326D9" w:rsidRPr="008E25F4">
        <w:rPr>
          <w:rFonts w:cstheme="minorHAnsi"/>
        </w:rPr>
        <w:t>public</w:t>
      </w:r>
      <w:r w:rsidR="003C2206" w:rsidRPr="008E25F4">
        <w:rPr>
          <w:rFonts w:cstheme="minorHAnsi"/>
        </w:rPr>
        <w:t xml:space="preserve"> pa</w:t>
      </w:r>
      <w:r w:rsidR="00A0012A" w:rsidRPr="008E25F4">
        <w:rPr>
          <w:rFonts w:cstheme="minorHAnsi"/>
        </w:rPr>
        <w:t>rce que certains documents devro</w:t>
      </w:r>
      <w:r w:rsidR="003C2206" w:rsidRPr="008E25F4">
        <w:rPr>
          <w:rFonts w:cstheme="minorHAnsi"/>
        </w:rPr>
        <w:t>nt être établis par les deux parties</w:t>
      </w:r>
      <w:r w:rsidR="00A9531F" w:rsidRPr="008E25F4">
        <w:rPr>
          <w:rStyle w:val="Appelnotedebasdep"/>
          <w:rFonts w:cstheme="minorHAnsi"/>
        </w:rPr>
        <w:footnoteReference w:id="9"/>
      </w:r>
      <w:r w:rsidR="00235A4C" w:rsidRPr="008E25F4">
        <w:rPr>
          <w:rFonts w:cstheme="minorHAnsi"/>
        </w:rPr>
        <w:t xml:space="preserve">, </w:t>
      </w:r>
      <w:r w:rsidR="008931FF" w:rsidRPr="008E25F4">
        <w:rPr>
          <w:rFonts w:cstheme="minorHAnsi"/>
        </w:rPr>
        <w:t xml:space="preserve">favorisant la collaboration et la responsabilisation </w:t>
      </w:r>
      <w:r w:rsidR="00257951" w:rsidRPr="008E25F4">
        <w:rPr>
          <w:rFonts w:cstheme="minorHAnsi"/>
        </w:rPr>
        <w:t xml:space="preserve">entre eux </w:t>
      </w:r>
      <w:r w:rsidR="008931FF" w:rsidRPr="008E25F4">
        <w:rPr>
          <w:rFonts w:cstheme="minorHAnsi"/>
        </w:rPr>
        <w:t>conformément à la théorie de l’intendance</w:t>
      </w:r>
      <w:r w:rsidR="00803188" w:rsidRPr="008E25F4">
        <w:rPr>
          <w:rFonts w:cstheme="minorHAnsi"/>
        </w:rPr>
        <w:t xml:space="preserve"> à tel point que les </w:t>
      </w:r>
      <w:r w:rsidR="003E03B5" w:rsidRPr="008E25F4">
        <w:rPr>
          <w:rFonts w:cstheme="minorHAnsi"/>
        </w:rPr>
        <w:t>frontières entre les rôles de ces deux personnes vont s’atténuer</w:t>
      </w:r>
      <w:r w:rsidR="006326D9" w:rsidRPr="008E25F4">
        <w:rPr>
          <w:rFonts w:cstheme="minorHAnsi"/>
        </w:rPr>
        <w:t xml:space="preserve">, situation soulignée par </w:t>
      </w:r>
      <w:bookmarkStart w:id="35" w:name="_Hlk35440505"/>
      <w:proofErr w:type="spellStart"/>
      <w:r w:rsidR="006326D9" w:rsidRPr="008E25F4">
        <w:rPr>
          <w:rFonts w:cstheme="minorHAnsi"/>
        </w:rPr>
        <w:t>Tillema</w:t>
      </w:r>
      <w:proofErr w:type="spellEnd"/>
      <w:r w:rsidR="006326D9" w:rsidRPr="008E25F4">
        <w:rPr>
          <w:rFonts w:cstheme="minorHAnsi"/>
        </w:rPr>
        <w:t xml:space="preserve"> et Ter </w:t>
      </w:r>
      <w:proofErr w:type="spellStart"/>
      <w:r w:rsidR="006326D9" w:rsidRPr="008E25F4">
        <w:rPr>
          <w:rFonts w:cstheme="minorHAnsi"/>
        </w:rPr>
        <w:t>Bogt</w:t>
      </w:r>
      <w:proofErr w:type="spellEnd"/>
      <w:r w:rsidR="006326D9" w:rsidRPr="008E25F4">
        <w:rPr>
          <w:rFonts w:cstheme="minorHAnsi"/>
        </w:rPr>
        <w:t xml:space="preserve"> (2016</w:t>
      </w:r>
      <w:r w:rsidR="00974802" w:rsidRPr="008E25F4">
        <w:rPr>
          <w:rFonts w:cstheme="minorHAnsi"/>
        </w:rPr>
        <w:t xml:space="preserve">, </w:t>
      </w:r>
      <w:r w:rsidR="0038751E" w:rsidRPr="008E25F4">
        <w:rPr>
          <w:rFonts w:cstheme="minorHAnsi"/>
        </w:rPr>
        <w:t>p 139</w:t>
      </w:r>
      <w:r w:rsidR="006326D9" w:rsidRPr="008E25F4">
        <w:rPr>
          <w:rFonts w:cstheme="minorHAnsi"/>
        </w:rPr>
        <w:t xml:space="preserve">) </w:t>
      </w:r>
      <w:bookmarkEnd w:id="35"/>
      <w:r w:rsidR="006326D9" w:rsidRPr="008E25F4">
        <w:rPr>
          <w:rFonts w:cstheme="minorHAnsi"/>
        </w:rPr>
        <w:t>en contexte d’intendance</w:t>
      </w:r>
      <w:r w:rsidR="004645D3" w:rsidRPr="008E25F4">
        <w:rPr>
          <w:rFonts w:cstheme="minorHAnsi"/>
        </w:rPr>
        <w:t>,</w:t>
      </w:r>
      <w:r w:rsidR="00A85F42" w:rsidRPr="008E25F4">
        <w:rPr>
          <w:rFonts w:cstheme="minorHAnsi"/>
        </w:rPr>
        <w:t xml:space="preserve"> même si leur responsabilité respective demeure</w:t>
      </w:r>
      <w:r w:rsidR="00775C51" w:rsidRPr="008E25F4">
        <w:rPr>
          <w:rFonts w:eastAsia="Times New Roman" w:cstheme="minorHAnsi"/>
          <w:lang w:eastAsia="fr-FR"/>
        </w:rPr>
        <w:t>.</w:t>
      </w:r>
      <w:r w:rsidR="00677407" w:rsidRPr="008E25F4">
        <w:rPr>
          <w:rFonts w:cstheme="minorHAnsi"/>
        </w:rPr>
        <w:t xml:space="preserve"> </w:t>
      </w:r>
      <w:r w:rsidR="005A7777" w:rsidRPr="008E25F4">
        <w:rPr>
          <w:rFonts w:cstheme="minorHAnsi"/>
        </w:rPr>
        <w:t>L</w:t>
      </w:r>
      <w:r w:rsidR="00C36FDF" w:rsidRPr="008E25F4">
        <w:rPr>
          <w:rFonts w:cstheme="minorHAnsi"/>
        </w:rPr>
        <w:t>’</w:t>
      </w:r>
      <w:r w:rsidR="005A7777" w:rsidRPr="008E25F4">
        <w:rPr>
          <w:rFonts w:cstheme="minorHAnsi"/>
        </w:rPr>
        <w:t xml:space="preserve">Inspection Générale des Finances </w:t>
      </w:r>
      <w:r w:rsidR="00C36FDF" w:rsidRPr="008E25F4">
        <w:rPr>
          <w:rFonts w:cstheme="minorHAnsi"/>
        </w:rPr>
        <w:t>relate en 2017 que pour l’exercice 2016, 96 766 comptes administratifs et 152 204 comptes de gestion ont été établis, soit un écart</w:t>
      </w:r>
      <w:r w:rsidR="00F46CF2" w:rsidRPr="008E25F4">
        <w:rPr>
          <w:rFonts w:cstheme="minorHAnsi"/>
        </w:rPr>
        <w:t xml:space="preserve"> </w:t>
      </w:r>
      <w:r w:rsidR="00C36FDF" w:rsidRPr="008E25F4">
        <w:rPr>
          <w:rFonts w:cstheme="minorHAnsi"/>
        </w:rPr>
        <w:t xml:space="preserve">qui peut laisser penser </w:t>
      </w:r>
      <w:r w:rsidR="007228E1" w:rsidRPr="008E25F4">
        <w:rPr>
          <w:rFonts w:cstheme="minorHAnsi"/>
        </w:rPr>
        <w:t xml:space="preserve">à </w:t>
      </w:r>
      <w:r w:rsidR="00C36FDF" w:rsidRPr="008E25F4">
        <w:rPr>
          <w:rFonts w:cstheme="minorHAnsi"/>
        </w:rPr>
        <w:t>un</w:t>
      </w:r>
      <w:r w:rsidR="00257951" w:rsidRPr="008E25F4">
        <w:rPr>
          <w:rFonts w:cstheme="minorHAnsi"/>
        </w:rPr>
        <w:t xml:space="preserve"> manque</w:t>
      </w:r>
      <w:r w:rsidR="00C36FDF" w:rsidRPr="008E25F4">
        <w:rPr>
          <w:rFonts w:cstheme="minorHAnsi"/>
        </w:rPr>
        <w:t xml:space="preserve"> de coordination entre ordonnateur et comptable public. </w:t>
      </w:r>
      <w:r w:rsidR="00235A4C" w:rsidRPr="008E25F4">
        <w:rPr>
          <w:rFonts w:cstheme="minorHAnsi"/>
        </w:rPr>
        <w:t xml:space="preserve">Le projet d’installation d’agences comptables au sein des </w:t>
      </w:r>
      <w:r w:rsidR="008B4EA7" w:rsidRPr="008E25F4">
        <w:rPr>
          <w:rFonts w:cstheme="minorHAnsi"/>
        </w:rPr>
        <w:t>C</w:t>
      </w:r>
      <w:r w:rsidR="004D4731" w:rsidRPr="008E25F4">
        <w:rPr>
          <w:rFonts w:cstheme="minorHAnsi"/>
        </w:rPr>
        <w:t>T</w:t>
      </w:r>
      <w:r w:rsidR="00A0012A" w:rsidRPr="008E25F4">
        <w:rPr>
          <w:rFonts w:cstheme="minorHAnsi"/>
        </w:rPr>
        <w:t xml:space="preserve"> entrainant une proximité géographique </w:t>
      </w:r>
      <w:r w:rsidR="00A0012A" w:rsidRPr="008E25F4">
        <w:rPr>
          <w:rFonts w:cstheme="minorHAnsi"/>
        </w:rPr>
        <w:lastRenderedPageBreak/>
        <w:t xml:space="preserve">entre la </w:t>
      </w:r>
      <w:r w:rsidR="008B4EA7" w:rsidRPr="008E25F4">
        <w:rPr>
          <w:rFonts w:cstheme="minorHAnsi"/>
        </w:rPr>
        <w:t>C</w:t>
      </w:r>
      <w:r w:rsidR="00A35D96">
        <w:rPr>
          <w:rFonts w:cstheme="minorHAnsi"/>
        </w:rPr>
        <w:t>T</w:t>
      </w:r>
      <w:r w:rsidR="00A0012A" w:rsidRPr="008E25F4">
        <w:rPr>
          <w:rFonts w:cstheme="minorHAnsi"/>
        </w:rPr>
        <w:t xml:space="preserve"> (ordonnateur et personnel) et le comptable public</w:t>
      </w:r>
      <w:r w:rsidR="00235A4C" w:rsidRPr="008E25F4">
        <w:rPr>
          <w:rFonts w:cstheme="minorHAnsi"/>
        </w:rPr>
        <w:t xml:space="preserve">, la création de </w:t>
      </w:r>
      <w:r w:rsidR="00677407" w:rsidRPr="008E25F4">
        <w:rPr>
          <w:rFonts w:cstheme="minorHAnsi"/>
        </w:rPr>
        <w:t>services facturiers</w:t>
      </w:r>
      <w:r w:rsidR="00E668C4" w:rsidRPr="008E25F4">
        <w:rPr>
          <w:rStyle w:val="Appelnotedebasdep"/>
          <w:rFonts w:cstheme="minorHAnsi"/>
        </w:rPr>
        <w:footnoteReference w:id="10"/>
      </w:r>
      <w:r w:rsidR="00677407" w:rsidRPr="008E25F4">
        <w:rPr>
          <w:rFonts w:cstheme="minorHAnsi"/>
        </w:rPr>
        <w:t xml:space="preserve">, </w:t>
      </w:r>
      <w:r w:rsidR="00235A4C" w:rsidRPr="008E25F4">
        <w:rPr>
          <w:rFonts w:cstheme="minorHAnsi"/>
        </w:rPr>
        <w:t>du</w:t>
      </w:r>
      <w:r w:rsidR="00677407" w:rsidRPr="008E25F4">
        <w:rPr>
          <w:rFonts w:cstheme="minorHAnsi"/>
        </w:rPr>
        <w:t xml:space="preserve"> contr</w:t>
      </w:r>
      <w:r w:rsidR="00235A4C" w:rsidRPr="008E25F4">
        <w:rPr>
          <w:rFonts w:cstheme="minorHAnsi"/>
        </w:rPr>
        <w:t>ôle hiérarchisé de la dépense</w:t>
      </w:r>
      <w:r w:rsidR="00D65011" w:rsidRPr="008E25F4">
        <w:rPr>
          <w:rStyle w:val="Appelnotedebasdep"/>
          <w:rFonts w:cstheme="minorHAnsi"/>
        </w:rPr>
        <w:footnoteReference w:id="11"/>
      </w:r>
      <w:r w:rsidR="00D315A0" w:rsidRPr="008E25F4">
        <w:rPr>
          <w:rFonts w:cstheme="minorHAnsi"/>
        </w:rPr>
        <w:t>, du service mutualisé de la recette</w:t>
      </w:r>
      <w:r w:rsidR="004726C8" w:rsidRPr="008E25F4">
        <w:rPr>
          <w:rStyle w:val="Appelnotedebasdep"/>
          <w:rFonts w:cstheme="minorHAnsi"/>
        </w:rPr>
        <w:footnoteReference w:id="12"/>
      </w:r>
      <w:r w:rsidR="00235A4C" w:rsidRPr="008E25F4">
        <w:rPr>
          <w:rFonts w:cstheme="minorHAnsi"/>
        </w:rPr>
        <w:t>…</w:t>
      </w:r>
      <w:r w:rsidR="00CE4F04" w:rsidRPr="008E25F4">
        <w:rPr>
          <w:rFonts w:cstheme="minorHAnsi"/>
        </w:rPr>
        <w:t xml:space="preserve">et de façon plus générale </w:t>
      </w:r>
      <w:r w:rsidR="008C1A64" w:rsidRPr="008E25F4">
        <w:rPr>
          <w:rFonts w:cstheme="minorHAnsi"/>
        </w:rPr>
        <w:t xml:space="preserve">l’émergence </w:t>
      </w:r>
      <w:r w:rsidR="00CE4F04" w:rsidRPr="008E25F4">
        <w:rPr>
          <w:rFonts w:cstheme="minorHAnsi"/>
        </w:rPr>
        <w:t>d’un système d’information unique</w:t>
      </w:r>
      <w:r w:rsidR="00D42C3C" w:rsidRPr="008E25F4">
        <w:rPr>
          <w:rFonts w:cstheme="minorHAnsi"/>
        </w:rPr>
        <w:t>,</w:t>
      </w:r>
      <w:r w:rsidR="00CE4F04" w:rsidRPr="008E25F4">
        <w:rPr>
          <w:rFonts w:cstheme="minorHAnsi"/>
        </w:rPr>
        <w:t xml:space="preserve"> </w:t>
      </w:r>
      <w:r w:rsidR="00D42C3C" w:rsidRPr="008E25F4">
        <w:rPr>
          <w:rFonts w:cstheme="minorHAnsi"/>
        </w:rPr>
        <w:t>déjà initié par l’obligation de dématérialiser la comptabilité publique</w:t>
      </w:r>
      <w:r w:rsidR="00BC55E5" w:rsidRPr="008E25F4">
        <w:rPr>
          <w:rStyle w:val="Appelnotedebasdep"/>
          <w:rFonts w:cstheme="minorHAnsi"/>
        </w:rPr>
        <w:footnoteReference w:id="13"/>
      </w:r>
      <w:r w:rsidR="00D42C3C" w:rsidRPr="008E25F4">
        <w:rPr>
          <w:rFonts w:cstheme="minorHAnsi"/>
        </w:rPr>
        <w:t xml:space="preserve">, </w:t>
      </w:r>
      <w:r w:rsidR="00235A4C" w:rsidRPr="008E25F4">
        <w:rPr>
          <w:rFonts w:cstheme="minorHAnsi"/>
        </w:rPr>
        <w:t xml:space="preserve">renforcent le partage d’informations </w:t>
      </w:r>
      <w:r w:rsidR="00A0012A" w:rsidRPr="008E25F4">
        <w:rPr>
          <w:rFonts w:cstheme="minorHAnsi"/>
        </w:rPr>
        <w:t>entre ces parties prenantes.</w:t>
      </w:r>
      <w:r w:rsidR="00BB5783" w:rsidRPr="008E25F4">
        <w:rPr>
          <w:rFonts w:cstheme="minorHAnsi"/>
        </w:rPr>
        <w:t xml:space="preserve"> L’auditeur va croiser </w:t>
      </w:r>
      <w:r w:rsidR="00BB5783" w:rsidRPr="008E25F4">
        <w:rPr>
          <w:rFonts w:eastAsia="Times New Roman" w:cstheme="minorHAnsi"/>
          <w:lang w:eastAsia="fr-FR"/>
        </w:rPr>
        <w:t xml:space="preserve">les procédures de contrôle interne de l’ordonnateur et du comptable pour émettre un avis sur la maîtrise des risques. </w:t>
      </w:r>
      <w:r w:rsidR="00A0012A" w:rsidRPr="008E25F4">
        <w:rPr>
          <w:rFonts w:cstheme="minorHAnsi"/>
        </w:rPr>
        <w:t xml:space="preserve"> </w:t>
      </w:r>
      <w:r w:rsidR="00376CEB" w:rsidRPr="008E25F4">
        <w:rPr>
          <w:rFonts w:cstheme="minorHAnsi"/>
        </w:rPr>
        <w:t xml:space="preserve">La C des C, dans son diagnostic d’entrée des </w:t>
      </w:r>
      <w:r w:rsidR="008B4EA7" w:rsidRPr="008E25F4">
        <w:rPr>
          <w:rFonts w:cstheme="minorHAnsi"/>
        </w:rPr>
        <w:t>C</w:t>
      </w:r>
      <w:r w:rsidR="004D4731" w:rsidRPr="008E25F4">
        <w:rPr>
          <w:rFonts w:cstheme="minorHAnsi"/>
        </w:rPr>
        <w:t>T</w:t>
      </w:r>
      <w:r w:rsidR="00376CEB" w:rsidRPr="008E25F4">
        <w:rPr>
          <w:rFonts w:cstheme="minorHAnsi"/>
        </w:rPr>
        <w:t xml:space="preserve"> dans la certification des comptes, </w:t>
      </w:r>
      <w:r w:rsidR="0050461A" w:rsidRPr="008E25F4">
        <w:rPr>
          <w:rFonts w:cstheme="minorHAnsi"/>
        </w:rPr>
        <w:t>a dû</w:t>
      </w:r>
      <w:r w:rsidR="00C64A9C" w:rsidRPr="008E25F4">
        <w:rPr>
          <w:rFonts w:cstheme="minorHAnsi"/>
        </w:rPr>
        <w:t xml:space="preserve"> étudier si l’organisation a identifié </w:t>
      </w:r>
      <w:r w:rsidR="00810702" w:rsidRPr="008E25F4">
        <w:rPr>
          <w:rFonts w:cstheme="minorHAnsi"/>
        </w:rPr>
        <w:t xml:space="preserve">et formalisé </w:t>
      </w:r>
      <w:r w:rsidR="00C64A9C" w:rsidRPr="008E25F4">
        <w:rPr>
          <w:rFonts w:cstheme="minorHAnsi"/>
        </w:rPr>
        <w:t>une fonction et un processus de contrôle interne, de façon à être repérés par un auditeur externe.</w:t>
      </w:r>
      <w:r w:rsidR="008B508C" w:rsidRPr="008E25F4">
        <w:rPr>
          <w:rFonts w:cstheme="minorHAnsi"/>
        </w:rPr>
        <w:t xml:space="preserve"> Les résultats de ce diagnostic</w:t>
      </w:r>
      <w:r w:rsidR="008B508C" w:rsidRPr="008E25F4">
        <w:rPr>
          <w:rStyle w:val="Appelnotedebasdep"/>
          <w:rFonts w:cstheme="minorHAnsi"/>
        </w:rPr>
        <w:footnoteReference w:id="14"/>
      </w:r>
      <w:r w:rsidR="008B508C" w:rsidRPr="008E25F4">
        <w:rPr>
          <w:rFonts w:cstheme="minorHAnsi"/>
        </w:rPr>
        <w:t xml:space="preserve"> montrent que dans la moitié des </w:t>
      </w:r>
      <w:r w:rsidR="008B4EA7" w:rsidRPr="008E25F4">
        <w:rPr>
          <w:rFonts w:cstheme="minorHAnsi"/>
        </w:rPr>
        <w:t>CT</w:t>
      </w:r>
      <w:r w:rsidR="008B508C" w:rsidRPr="008E25F4">
        <w:rPr>
          <w:rFonts w:cstheme="minorHAnsi"/>
        </w:rPr>
        <w:t xml:space="preserve"> sélectionnées pour l’expérimentation, il n’y a pas de dispositif formalisé et documenté de contrôle interne</w:t>
      </w:r>
      <w:r w:rsidR="00810702" w:rsidRPr="008E25F4">
        <w:rPr>
          <w:rFonts w:cstheme="minorHAnsi"/>
        </w:rPr>
        <w:t>.</w:t>
      </w:r>
      <w:r w:rsidR="00BB5783" w:rsidRPr="008E25F4">
        <w:rPr>
          <w:rFonts w:cstheme="minorHAnsi"/>
        </w:rPr>
        <w:t xml:space="preserve"> </w:t>
      </w:r>
      <w:r w:rsidR="003244CA" w:rsidRPr="008E25F4">
        <w:rPr>
          <w:rFonts w:cstheme="minorHAnsi"/>
        </w:rPr>
        <w:t>La coexistence de trois applications pour constituer le système d’informations des CT ne facilite pas la fiabilité des comptes. En effet, les directions opérationnelles travaillent sur des applications « métier », l’ordonnateur utilise un système d’information appartenant à un large éventail d’applications tandis que les comptables publics ont tous la même application Hélios, quel</w:t>
      </w:r>
      <w:r w:rsidR="004F3CE1" w:rsidRPr="008E25F4">
        <w:rPr>
          <w:rFonts w:cstheme="minorHAnsi"/>
        </w:rPr>
        <w:t xml:space="preserve">les </w:t>
      </w:r>
      <w:r w:rsidR="003244CA" w:rsidRPr="008E25F4">
        <w:rPr>
          <w:rFonts w:cstheme="minorHAnsi"/>
        </w:rPr>
        <w:t xml:space="preserve">que soient l’entité et sa norme comptable. La C des C déplore </w:t>
      </w:r>
      <w:r w:rsidR="002A6AC2" w:rsidRPr="008E25F4">
        <w:rPr>
          <w:rFonts w:cstheme="minorHAnsi"/>
        </w:rPr>
        <w:t>aussi une absence de cartographie des interfaces entre ces logiciels. Ces obstacles devront être corrigés pour permettre les travaux de certification.</w:t>
      </w:r>
    </w:p>
    <w:p w14:paraId="28E34E8B" w14:textId="29FEDB38" w:rsidR="00E2036E" w:rsidRPr="008E25F4" w:rsidRDefault="009A22B1" w:rsidP="00932E08">
      <w:pPr>
        <w:suppressAutoHyphens/>
        <w:jc w:val="both"/>
        <w:rPr>
          <w:rFonts w:cstheme="minorHAnsi"/>
        </w:rPr>
      </w:pPr>
      <w:r w:rsidRPr="008E25F4">
        <w:rPr>
          <w:rFonts w:cstheme="minorHAnsi"/>
        </w:rPr>
        <w:t xml:space="preserve">Selon </w:t>
      </w:r>
      <w:bookmarkStart w:id="36" w:name="_Hlk35440519"/>
      <w:proofErr w:type="spellStart"/>
      <w:r w:rsidRPr="008E25F4">
        <w:rPr>
          <w:rFonts w:cstheme="minorHAnsi"/>
        </w:rPr>
        <w:t>Barzelay</w:t>
      </w:r>
      <w:proofErr w:type="spellEnd"/>
      <w:r w:rsidRPr="008E25F4">
        <w:rPr>
          <w:rFonts w:cstheme="minorHAnsi"/>
        </w:rPr>
        <w:t xml:space="preserve"> (1996), </w:t>
      </w:r>
      <w:bookmarkEnd w:id="36"/>
      <w:r w:rsidR="007228E1" w:rsidRPr="008E25F4">
        <w:rPr>
          <w:rFonts w:cstheme="minorHAnsi"/>
        </w:rPr>
        <w:t xml:space="preserve">un des buts de </w:t>
      </w:r>
      <w:r w:rsidRPr="008E25F4">
        <w:rPr>
          <w:rFonts w:cstheme="minorHAnsi"/>
        </w:rPr>
        <w:t xml:space="preserve">l’audit </w:t>
      </w:r>
      <w:r w:rsidR="007228E1" w:rsidRPr="008E25F4">
        <w:rPr>
          <w:rFonts w:cstheme="minorHAnsi"/>
        </w:rPr>
        <w:t xml:space="preserve">est </w:t>
      </w:r>
      <w:r w:rsidRPr="008E25F4">
        <w:rPr>
          <w:rFonts w:cstheme="minorHAnsi"/>
        </w:rPr>
        <w:t xml:space="preserve">d’améliorer la relation de responsabilité entre </w:t>
      </w:r>
      <w:r w:rsidR="00EA29E9" w:rsidRPr="008E25F4">
        <w:rPr>
          <w:rFonts w:cstheme="minorHAnsi"/>
        </w:rPr>
        <w:t>le</w:t>
      </w:r>
      <w:r w:rsidRPr="008E25F4">
        <w:rPr>
          <w:rFonts w:cstheme="minorHAnsi"/>
        </w:rPr>
        <w:t xml:space="preserve"> </w:t>
      </w:r>
      <w:r w:rsidR="00EA29E9" w:rsidRPr="008E25F4">
        <w:rPr>
          <w:rFonts w:cstheme="minorHAnsi"/>
        </w:rPr>
        <w:t xml:space="preserve">personnel de la </w:t>
      </w:r>
      <w:r w:rsidR="008B4EA7" w:rsidRPr="008E25F4">
        <w:rPr>
          <w:rFonts w:cstheme="minorHAnsi"/>
        </w:rPr>
        <w:t>C</w:t>
      </w:r>
      <w:r w:rsidR="001B30E8">
        <w:rPr>
          <w:rFonts w:cstheme="minorHAnsi"/>
        </w:rPr>
        <w:t>T</w:t>
      </w:r>
      <w:r w:rsidRPr="008E25F4">
        <w:rPr>
          <w:rFonts w:cstheme="minorHAnsi"/>
        </w:rPr>
        <w:t xml:space="preserve"> et les élus</w:t>
      </w:r>
      <w:r w:rsidR="00EA29E9" w:rsidRPr="008E25F4">
        <w:rPr>
          <w:rFonts w:cstheme="minorHAnsi"/>
        </w:rPr>
        <w:t xml:space="preserve">, qui n’ont pas de lien hiérarchique entre eux, les changements procéduraux induits par la certification des comptes publics </w:t>
      </w:r>
      <w:r w:rsidR="00EE58B0" w:rsidRPr="008E25F4">
        <w:rPr>
          <w:rFonts w:cstheme="minorHAnsi"/>
        </w:rPr>
        <w:t>devraient favoriser ce partenariat.</w:t>
      </w:r>
      <w:r w:rsidR="00DD06B6" w:rsidRPr="008E25F4">
        <w:rPr>
          <w:rFonts w:cstheme="minorHAnsi"/>
        </w:rPr>
        <w:t xml:space="preserve"> </w:t>
      </w:r>
      <w:r w:rsidR="00E46325" w:rsidRPr="008E25F4">
        <w:rPr>
          <w:rFonts w:cstheme="minorHAnsi"/>
        </w:rPr>
        <w:t xml:space="preserve">Comme le personnel et l’élu sont associés aux mécanismes de contrôle interne, on peut s’attendre à un sentiment d’appartenance de ces membres à l’organisation </w:t>
      </w:r>
      <w:r w:rsidR="008B4EA7" w:rsidRPr="008E25F4">
        <w:rPr>
          <w:rFonts w:cstheme="minorHAnsi"/>
        </w:rPr>
        <w:t>C</w:t>
      </w:r>
      <w:r w:rsidR="004D4731" w:rsidRPr="008E25F4">
        <w:rPr>
          <w:rFonts w:cstheme="minorHAnsi"/>
        </w:rPr>
        <w:t>T</w:t>
      </w:r>
      <w:r w:rsidR="00E46325" w:rsidRPr="008E25F4">
        <w:rPr>
          <w:rFonts w:cstheme="minorHAnsi"/>
        </w:rPr>
        <w:t xml:space="preserve">, </w:t>
      </w:r>
      <w:r w:rsidR="00C67639" w:rsidRPr="008E25F4">
        <w:rPr>
          <w:rFonts w:cstheme="minorHAnsi"/>
        </w:rPr>
        <w:t xml:space="preserve">que Pierce </w:t>
      </w:r>
      <w:r w:rsidR="00C67639" w:rsidRPr="008E25F4">
        <w:rPr>
          <w:rFonts w:cstheme="minorHAnsi"/>
          <w:i/>
        </w:rPr>
        <w:t>et al</w:t>
      </w:r>
      <w:r w:rsidR="00C67639" w:rsidRPr="008E25F4">
        <w:rPr>
          <w:rFonts w:cstheme="minorHAnsi"/>
        </w:rPr>
        <w:t xml:space="preserve"> (2001) appellent sentiment de propriété psychologique par opposition à la propriété matérielle ou financière qu</w:t>
      </w:r>
      <w:r w:rsidR="007228E1" w:rsidRPr="008E25F4">
        <w:rPr>
          <w:rFonts w:cstheme="minorHAnsi"/>
        </w:rPr>
        <w:t>e détiennent</w:t>
      </w:r>
      <w:r w:rsidR="00C67639" w:rsidRPr="008E25F4">
        <w:rPr>
          <w:rFonts w:cstheme="minorHAnsi"/>
        </w:rPr>
        <w:t xml:space="preserve"> les actionnaires d’une entreprise</w:t>
      </w:r>
      <w:r w:rsidR="009F1371" w:rsidRPr="008E25F4">
        <w:rPr>
          <w:rFonts w:cstheme="minorHAnsi"/>
        </w:rPr>
        <w:t xml:space="preserve"> </w:t>
      </w:r>
      <w:r w:rsidR="003A78E0" w:rsidRPr="008E25F4">
        <w:rPr>
          <w:rFonts w:cstheme="minorHAnsi"/>
        </w:rPr>
        <w:t xml:space="preserve">privée </w:t>
      </w:r>
      <w:r w:rsidR="009F1371" w:rsidRPr="008E25F4">
        <w:rPr>
          <w:rFonts w:cstheme="minorHAnsi"/>
        </w:rPr>
        <w:t>et conformément à une conception large de la propriété (</w:t>
      </w:r>
      <w:proofErr w:type="spellStart"/>
      <w:r w:rsidR="009F1371" w:rsidRPr="008E25F4">
        <w:rPr>
          <w:rFonts w:cstheme="minorHAnsi"/>
        </w:rPr>
        <w:t>Donalson</w:t>
      </w:r>
      <w:proofErr w:type="spellEnd"/>
      <w:r w:rsidR="009F1371" w:rsidRPr="008E25F4">
        <w:rPr>
          <w:rFonts w:cstheme="minorHAnsi"/>
        </w:rPr>
        <w:t xml:space="preserve"> et Preston 1995, p 83). </w:t>
      </w:r>
      <w:r w:rsidR="00453159" w:rsidRPr="008E25F4">
        <w:rPr>
          <w:rFonts w:cstheme="minorHAnsi"/>
        </w:rPr>
        <w:t xml:space="preserve">L’unicité du compte que représente </w:t>
      </w:r>
      <w:r w:rsidR="00CE4F04" w:rsidRPr="008E25F4">
        <w:rPr>
          <w:rFonts w:cstheme="minorHAnsi"/>
        </w:rPr>
        <w:t xml:space="preserve">le CFU ne serait-elle pas </w:t>
      </w:r>
      <w:r w:rsidR="00D75621" w:rsidRPr="008E25F4">
        <w:rPr>
          <w:rFonts w:cstheme="minorHAnsi"/>
        </w:rPr>
        <w:t xml:space="preserve">à la fois </w:t>
      </w:r>
      <w:r w:rsidR="00CE4F04" w:rsidRPr="008E25F4">
        <w:rPr>
          <w:rFonts w:cstheme="minorHAnsi"/>
        </w:rPr>
        <w:t>la fin d’une logique de méfiance qui privilégiait le contrôle au sens étroit et disciplinaire du terme (</w:t>
      </w:r>
      <w:bookmarkStart w:id="37" w:name="_Hlk35440530"/>
      <w:r w:rsidR="00CE4F04" w:rsidRPr="008E25F4">
        <w:rPr>
          <w:rFonts w:cstheme="minorHAnsi"/>
        </w:rPr>
        <w:t>Prévost 2018</w:t>
      </w:r>
      <w:r w:rsidR="007330E0" w:rsidRPr="008E25F4">
        <w:rPr>
          <w:rFonts w:cstheme="minorHAnsi"/>
        </w:rPr>
        <w:t>, p 21</w:t>
      </w:r>
      <w:r w:rsidR="00CE4F04" w:rsidRPr="008E25F4">
        <w:rPr>
          <w:rFonts w:cstheme="minorHAnsi"/>
        </w:rPr>
        <w:t xml:space="preserve">) </w:t>
      </w:r>
      <w:bookmarkEnd w:id="37"/>
      <w:r w:rsidR="00CE4F04" w:rsidRPr="008E25F4">
        <w:rPr>
          <w:rFonts w:cstheme="minorHAnsi"/>
        </w:rPr>
        <w:t>par la distinction entre un compte administ</w:t>
      </w:r>
      <w:r w:rsidR="00453159" w:rsidRPr="008E25F4">
        <w:rPr>
          <w:rFonts w:cstheme="minorHAnsi"/>
        </w:rPr>
        <w:t>ratif et un compte de gestion et</w:t>
      </w:r>
      <w:r w:rsidR="00A0012A" w:rsidRPr="008E25F4">
        <w:rPr>
          <w:rFonts w:cstheme="minorHAnsi"/>
        </w:rPr>
        <w:t xml:space="preserve"> la voie de l’</w:t>
      </w:r>
      <w:r w:rsidR="00CE4F04" w:rsidRPr="008E25F4">
        <w:rPr>
          <w:rFonts w:cstheme="minorHAnsi"/>
        </w:rPr>
        <w:t xml:space="preserve">instauration d’une collaboration </w:t>
      </w:r>
      <w:r w:rsidR="00A0012A" w:rsidRPr="008E25F4">
        <w:rPr>
          <w:rFonts w:cstheme="minorHAnsi"/>
        </w:rPr>
        <w:t xml:space="preserve">de confiance </w:t>
      </w:r>
      <w:r w:rsidR="00CE4F04" w:rsidRPr="008E25F4">
        <w:rPr>
          <w:rFonts w:cstheme="minorHAnsi"/>
        </w:rPr>
        <w:t>orientée vers la transparence</w:t>
      </w:r>
      <w:r w:rsidR="004726C8" w:rsidRPr="008E25F4">
        <w:rPr>
          <w:rFonts w:cstheme="minorHAnsi"/>
        </w:rPr>
        <w:t xml:space="preserve"> </w:t>
      </w:r>
      <w:r w:rsidR="00CE4F04" w:rsidRPr="008E25F4">
        <w:rPr>
          <w:rFonts w:cstheme="minorHAnsi"/>
        </w:rPr>
        <w:t xml:space="preserve">? </w:t>
      </w:r>
      <w:r w:rsidR="00195027" w:rsidRPr="008E25F4">
        <w:rPr>
          <w:rFonts w:cstheme="minorHAnsi"/>
        </w:rPr>
        <w:t>Pour Mariel (2018, p 97), le CFU est « la consécration de la collaboration entre l’ordonnateur et le comptable »</w:t>
      </w:r>
      <w:r w:rsidR="00751147" w:rsidRPr="008E25F4">
        <w:rPr>
          <w:rFonts w:cstheme="minorHAnsi"/>
        </w:rPr>
        <w:t xml:space="preserve">, il constitue un outil au service de l’audit capable de modifier les relations entre les personnes de la </w:t>
      </w:r>
      <w:r w:rsidR="008B4EA7" w:rsidRPr="008E25F4">
        <w:rPr>
          <w:rFonts w:cstheme="minorHAnsi"/>
        </w:rPr>
        <w:t>C</w:t>
      </w:r>
      <w:r w:rsidR="004D4731" w:rsidRPr="008E25F4">
        <w:rPr>
          <w:rFonts w:cstheme="minorHAnsi"/>
        </w:rPr>
        <w:t>T</w:t>
      </w:r>
      <w:r w:rsidR="00751147" w:rsidRPr="008E25F4">
        <w:rPr>
          <w:rFonts w:cstheme="minorHAnsi"/>
        </w:rPr>
        <w:t xml:space="preserve">. </w:t>
      </w:r>
      <w:r w:rsidR="0061599C" w:rsidRPr="008E25F4">
        <w:rPr>
          <w:rFonts w:cstheme="minorHAnsi"/>
        </w:rPr>
        <w:t>La fonction de conseil</w:t>
      </w:r>
      <w:r w:rsidR="00091137" w:rsidRPr="008E25F4">
        <w:rPr>
          <w:rStyle w:val="Appelnotedebasdep"/>
          <w:rFonts w:cstheme="minorHAnsi"/>
        </w:rPr>
        <w:footnoteReference w:id="15"/>
      </w:r>
      <w:r w:rsidR="0061599C" w:rsidRPr="008E25F4">
        <w:rPr>
          <w:rFonts w:cstheme="minorHAnsi"/>
        </w:rPr>
        <w:t xml:space="preserve"> du comptable </w:t>
      </w:r>
      <w:r w:rsidR="00934ABB" w:rsidRPr="008E25F4">
        <w:rPr>
          <w:rFonts w:cstheme="minorHAnsi"/>
        </w:rPr>
        <w:t xml:space="preserve">auprès de l’ordonnateur est appelée à croître car le CFU, coconstruit par les deux personnes, est attendu comme outil prospectif.  </w:t>
      </w:r>
      <w:r w:rsidR="00282F2F" w:rsidRPr="008E25F4">
        <w:rPr>
          <w:rFonts w:cstheme="minorHAnsi"/>
        </w:rPr>
        <w:t xml:space="preserve">Davis et </w:t>
      </w:r>
      <w:r w:rsidR="00282F2F" w:rsidRPr="008E25F4">
        <w:rPr>
          <w:rFonts w:cstheme="minorHAnsi"/>
          <w:i/>
        </w:rPr>
        <w:t>al</w:t>
      </w:r>
      <w:r w:rsidR="00282F2F" w:rsidRPr="008E25F4">
        <w:rPr>
          <w:rFonts w:cstheme="minorHAnsi"/>
        </w:rPr>
        <w:t xml:space="preserve"> (1997</w:t>
      </w:r>
      <w:r w:rsidR="00B56A60" w:rsidRPr="008E25F4">
        <w:rPr>
          <w:rFonts w:cstheme="minorHAnsi"/>
        </w:rPr>
        <w:t>a</w:t>
      </w:r>
      <w:r w:rsidR="007330E0" w:rsidRPr="008E25F4">
        <w:rPr>
          <w:rFonts w:cstheme="minorHAnsi"/>
        </w:rPr>
        <w:t>, p 23</w:t>
      </w:r>
      <w:r w:rsidR="00D91B9E">
        <w:rPr>
          <w:rFonts w:cstheme="minorHAnsi"/>
        </w:rPr>
        <w:t>)</w:t>
      </w:r>
      <w:r w:rsidR="00652CE5" w:rsidRPr="00DA7B31">
        <w:rPr>
          <w:rFonts w:cstheme="minorHAnsi"/>
        </w:rPr>
        <w:t xml:space="preserve"> </w:t>
      </w:r>
      <w:r w:rsidR="00282F2F" w:rsidRPr="008E25F4">
        <w:rPr>
          <w:rFonts w:cstheme="minorHAnsi"/>
        </w:rPr>
        <w:t>considèrent l’audit comme une aide au principal et à l’agent dans leur fonction et un facteur de confiance et de communication entre eux</w:t>
      </w:r>
      <w:r w:rsidR="00667471" w:rsidRPr="008E25F4">
        <w:rPr>
          <w:rFonts w:cstheme="minorHAnsi"/>
        </w:rPr>
        <w:t xml:space="preserve"> au lieu de favoriser les conflits</w:t>
      </w:r>
      <w:r w:rsidR="00812E8F" w:rsidRPr="008E25F4">
        <w:rPr>
          <w:rFonts w:cstheme="minorHAnsi"/>
        </w:rPr>
        <w:t>, le rôle de conseil entre ordonnateur et comptable ne peut que faciliter le climat d’intendance</w:t>
      </w:r>
      <w:r w:rsidR="007F308C" w:rsidRPr="008E25F4">
        <w:rPr>
          <w:rFonts w:cstheme="minorHAnsi"/>
        </w:rPr>
        <w:t xml:space="preserve">. </w:t>
      </w:r>
      <w:r w:rsidR="00727DDA" w:rsidRPr="008E25F4">
        <w:rPr>
          <w:rFonts w:cstheme="minorHAnsi"/>
        </w:rPr>
        <w:t xml:space="preserve">Une relation de long terme entre principal et agent est fondamentale pour aboutir à une relation d’intendance (Davis </w:t>
      </w:r>
      <w:r w:rsidR="00727DDA" w:rsidRPr="008E25F4">
        <w:rPr>
          <w:rFonts w:cstheme="minorHAnsi"/>
          <w:i/>
        </w:rPr>
        <w:t>et al</w:t>
      </w:r>
      <w:r w:rsidR="00727DDA" w:rsidRPr="008E25F4">
        <w:rPr>
          <w:rFonts w:cstheme="minorHAnsi"/>
        </w:rPr>
        <w:t xml:space="preserve"> 1997a</w:t>
      </w:r>
      <w:r w:rsidR="00D76060" w:rsidRPr="008E25F4">
        <w:rPr>
          <w:rFonts w:cstheme="minorHAnsi"/>
        </w:rPr>
        <w:t>, p41</w:t>
      </w:r>
      <w:r w:rsidR="00727DDA" w:rsidRPr="008E25F4">
        <w:rPr>
          <w:rFonts w:cstheme="minorHAnsi"/>
        </w:rPr>
        <w:t>)</w:t>
      </w:r>
      <w:r w:rsidR="0061007E" w:rsidRPr="008E25F4">
        <w:rPr>
          <w:rFonts w:cstheme="minorHAnsi"/>
        </w:rPr>
        <w:t xml:space="preserve">. En </w:t>
      </w:r>
      <w:r w:rsidR="008B4EA7" w:rsidRPr="008E25F4">
        <w:rPr>
          <w:rFonts w:cstheme="minorHAnsi"/>
        </w:rPr>
        <w:t>C</w:t>
      </w:r>
      <w:r w:rsidR="004D4731" w:rsidRPr="008E25F4">
        <w:rPr>
          <w:rFonts w:cstheme="minorHAnsi"/>
        </w:rPr>
        <w:t>T</w:t>
      </w:r>
      <w:r w:rsidR="0061007E" w:rsidRPr="008E25F4">
        <w:rPr>
          <w:rFonts w:cstheme="minorHAnsi"/>
        </w:rPr>
        <w:t xml:space="preserve">, l’instauration de relations durables est conditionnée par la </w:t>
      </w:r>
      <w:r w:rsidR="00D859DB" w:rsidRPr="008E25F4">
        <w:rPr>
          <w:rFonts w:cstheme="minorHAnsi"/>
        </w:rPr>
        <w:t xml:space="preserve">stabilité </w:t>
      </w:r>
      <w:r w:rsidR="0061007E" w:rsidRPr="008E25F4">
        <w:rPr>
          <w:rFonts w:cstheme="minorHAnsi"/>
        </w:rPr>
        <w:t>des comptables, celle des salariés du service comptable et financier sachant que l’ordonnateur</w:t>
      </w:r>
      <w:r w:rsidR="00F81459" w:rsidRPr="008E25F4">
        <w:rPr>
          <w:rFonts w:cstheme="minorHAnsi"/>
        </w:rPr>
        <w:t xml:space="preserve"> </w:t>
      </w:r>
      <w:r w:rsidR="0061007E" w:rsidRPr="008E25F4">
        <w:rPr>
          <w:rFonts w:cstheme="minorHAnsi"/>
        </w:rPr>
        <w:t>-l’élu- se trouve en place pour un mandat d’une durée fixe (exemple : 6 ans)</w:t>
      </w:r>
      <w:r w:rsidR="00D94ECB" w:rsidRPr="008E25F4">
        <w:rPr>
          <w:rFonts w:cstheme="minorHAnsi"/>
        </w:rPr>
        <w:t xml:space="preserve"> </w:t>
      </w:r>
      <w:r w:rsidR="0061007E" w:rsidRPr="008E25F4">
        <w:rPr>
          <w:rFonts w:cstheme="minorHAnsi"/>
        </w:rPr>
        <w:t>qui pourra être éventuellement</w:t>
      </w:r>
      <w:r w:rsidR="00160856" w:rsidRPr="008E25F4">
        <w:rPr>
          <w:rFonts w:cstheme="minorHAnsi"/>
        </w:rPr>
        <w:t xml:space="preserve"> renouvelé</w:t>
      </w:r>
      <w:r w:rsidR="0061007E" w:rsidRPr="008E25F4">
        <w:rPr>
          <w:rFonts w:cstheme="minorHAnsi"/>
        </w:rPr>
        <w:t>.</w:t>
      </w:r>
      <w:r w:rsidR="00C34E72" w:rsidRPr="008E25F4">
        <w:rPr>
          <w:rFonts w:cstheme="minorHAnsi"/>
        </w:rPr>
        <w:t xml:space="preserve"> </w:t>
      </w:r>
      <w:r w:rsidR="00E2036E" w:rsidRPr="008E25F4">
        <w:rPr>
          <w:rFonts w:cstheme="minorHAnsi"/>
        </w:rPr>
        <w:t xml:space="preserve">Davis </w:t>
      </w:r>
      <w:r w:rsidR="00E2036E" w:rsidRPr="008E25F4">
        <w:rPr>
          <w:rFonts w:cstheme="minorHAnsi"/>
          <w:i/>
        </w:rPr>
        <w:t>et al</w:t>
      </w:r>
      <w:r w:rsidR="00E2036E" w:rsidRPr="008E25F4">
        <w:rPr>
          <w:rFonts w:cstheme="minorHAnsi"/>
        </w:rPr>
        <w:t xml:space="preserve"> </w:t>
      </w:r>
      <w:r w:rsidR="00E2036E" w:rsidRPr="008E25F4">
        <w:rPr>
          <w:rFonts w:cstheme="minorHAnsi"/>
        </w:rPr>
        <w:lastRenderedPageBreak/>
        <w:t>(1997 b</w:t>
      </w:r>
      <w:r w:rsidR="00D76060" w:rsidRPr="008E25F4">
        <w:rPr>
          <w:rFonts w:cstheme="minorHAnsi"/>
        </w:rPr>
        <w:t>, p</w:t>
      </w:r>
      <w:r w:rsidR="00335A33" w:rsidRPr="008E25F4">
        <w:rPr>
          <w:rFonts w:cstheme="minorHAnsi"/>
        </w:rPr>
        <w:t xml:space="preserve"> </w:t>
      </w:r>
      <w:r w:rsidR="00D76060" w:rsidRPr="008E25F4">
        <w:rPr>
          <w:rFonts w:cstheme="minorHAnsi"/>
        </w:rPr>
        <w:t>612</w:t>
      </w:r>
      <w:r w:rsidR="00E2036E" w:rsidRPr="008E25F4">
        <w:rPr>
          <w:rFonts w:cstheme="minorHAnsi"/>
        </w:rPr>
        <w:t xml:space="preserve">) et Albanese </w:t>
      </w:r>
      <w:r w:rsidR="00E2036E" w:rsidRPr="008E25F4">
        <w:rPr>
          <w:rFonts w:cstheme="minorHAnsi"/>
          <w:i/>
        </w:rPr>
        <w:t>et al</w:t>
      </w:r>
      <w:r w:rsidR="00E2036E" w:rsidRPr="008E25F4">
        <w:rPr>
          <w:rFonts w:cstheme="minorHAnsi"/>
        </w:rPr>
        <w:t xml:space="preserve"> (1997</w:t>
      </w:r>
      <w:r w:rsidR="00335A33" w:rsidRPr="008E25F4">
        <w:rPr>
          <w:rFonts w:cstheme="minorHAnsi"/>
        </w:rPr>
        <w:t>, p 610</w:t>
      </w:r>
      <w:r w:rsidR="00E2036E" w:rsidRPr="008E25F4">
        <w:rPr>
          <w:rFonts w:cstheme="minorHAnsi"/>
        </w:rPr>
        <w:t>) </w:t>
      </w:r>
      <w:r w:rsidR="00C34E72" w:rsidRPr="008E25F4">
        <w:rPr>
          <w:rFonts w:cstheme="minorHAnsi"/>
        </w:rPr>
        <w:t xml:space="preserve">considèrent que les relations entre les principaux et les agents sont dynamiques, c’est-à-dire qu’elles peuvent </w:t>
      </w:r>
      <w:r w:rsidR="00E2036E" w:rsidRPr="008E25F4">
        <w:rPr>
          <w:rFonts w:cstheme="minorHAnsi"/>
        </w:rPr>
        <w:t>évolu</w:t>
      </w:r>
      <w:r w:rsidR="00C34E72" w:rsidRPr="008E25F4">
        <w:rPr>
          <w:rFonts w:cstheme="minorHAnsi"/>
        </w:rPr>
        <w:t>er</w:t>
      </w:r>
      <w:r w:rsidR="00E2036E" w:rsidRPr="008E25F4">
        <w:rPr>
          <w:rFonts w:cstheme="minorHAnsi"/>
        </w:rPr>
        <w:t xml:space="preserve"> de la relation d’agence </w:t>
      </w:r>
      <w:r w:rsidR="00C34E72" w:rsidRPr="008E25F4">
        <w:rPr>
          <w:rFonts w:cstheme="minorHAnsi"/>
        </w:rPr>
        <w:t>à celle</w:t>
      </w:r>
      <w:r w:rsidR="00E2036E" w:rsidRPr="008E25F4">
        <w:rPr>
          <w:rFonts w:cstheme="minorHAnsi"/>
        </w:rPr>
        <w:t xml:space="preserve"> d’intendance</w:t>
      </w:r>
      <w:r w:rsidR="00C34E72" w:rsidRPr="008E25F4">
        <w:rPr>
          <w:rFonts w:cstheme="minorHAnsi"/>
        </w:rPr>
        <w:t xml:space="preserve">. L’ordonnateur </w:t>
      </w:r>
      <w:r w:rsidR="0031438A" w:rsidRPr="008E25F4">
        <w:rPr>
          <w:rFonts w:cstheme="minorHAnsi"/>
        </w:rPr>
        <w:t xml:space="preserve">et les salariés </w:t>
      </w:r>
      <w:r w:rsidR="00C34E72" w:rsidRPr="008E25F4">
        <w:rPr>
          <w:rFonts w:cstheme="minorHAnsi"/>
        </w:rPr>
        <w:t>coopère</w:t>
      </w:r>
      <w:r w:rsidR="0031438A" w:rsidRPr="008E25F4">
        <w:rPr>
          <w:rFonts w:cstheme="minorHAnsi"/>
        </w:rPr>
        <w:t>nt</w:t>
      </w:r>
      <w:r w:rsidR="00C34E72" w:rsidRPr="008E25F4">
        <w:rPr>
          <w:rFonts w:cstheme="minorHAnsi"/>
        </w:rPr>
        <w:t xml:space="preserve"> </w:t>
      </w:r>
      <w:r w:rsidR="00D34F29" w:rsidRPr="008E25F4">
        <w:rPr>
          <w:rFonts w:cstheme="minorHAnsi"/>
        </w:rPr>
        <w:t xml:space="preserve">entre eux et avec le comptable </w:t>
      </w:r>
      <w:r w:rsidR="00C34E72" w:rsidRPr="008E25F4">
        <w:rPr>
          <w:rFonts w:cstheme="minorHAnsi"/>
        </w:rPr>
        <w:t>et agi</w:t>
      </w:r>
      <w:r w:rsidR="0031438A" w:rsidRPr="008E25F4">
        <w:rPr>
          <w:rFonts w:cstheme="minorHAnsi"/>
        </w:rPr>
        <w:t>ssent</w:t>
      </w:r>
      <w:r w:rsidR="00C34E72" w:rsidRPr="008E25F4">
        <w:rPr>
          <w:rFonts w:cstheme="minorHAnsi"/>
        </w:rPr>
        <w:t xml:space="preserve"> dans le processus de contrôle interne</w:t>
      </w:r>
      <w:r w:rsidR="008752BE" w:rsidRPr="008E25F4">
        <w:rPr>
          <w:rFonts w:cstheme="minorHAnsi"/>
        </w:rPr>
        <w:t xml:space="preserve"> et dans l’édification du CFU dont certaines parties seront soumises à certification. Comme le comptable sera l’interlocuteur de l’auditeur externe, et que ce</w:t>
      </w:r>
      <w:r w:rsidR="005B7D51">
        <w:rPr>
          <w:rFonts w:cstheme="minorHAnsi"/>
        </w:rPr>
        <w:t xml:space="preserve"> dernier</w:t>
      </w:r>
      <w:r w:rsidR="008752BE" w:rsidRPr="008E25F4">
        <w:rPr>
          <w:rFonts w:cstheme="minorHAnsi"/>
        </w:rPr>
        <w:t xml:space="preserve"> pourra s’appuyer sur ses contrôles, il devra en amont s’assurer de la solide contribution et de la fiabilité de l’ordonnateur. </w:t>
      </w:r>
      <w:r w:rsidR="005369B8" w:rsidRPr="008E25F4">
        <w:rPr>
          <w:rFonts w:cstheme="minorHAnsi"/>
        </w:rPr>
        <w:t xml:space="preserve">L’introduction de la certification des comptes des </w:t>
      </w:r>
      <w:r w:rsidR="008B4EA7" w:rsidRPr="008E25F4">
        <w:rPr>
          <w:rFonts w:cstheme="minorHAnsi"/>
        </w:rPr>
        <w:t>C</w:t>
      </w:r>
      <w:r w:rsidR="004D4731" w:rsidRPr="008E25F4">
        <w:rPr>
          <w:rFonts w:cstheme="minorHAnsi"/>
        </w:rPr>
        <w:t>T</w:t>
      </w:r>
      <w:r w:rsidR="005369B8" w:rsidRPr="008E25F4">
        <w:rPr>
          <w:rFonts w:cstheme="minorHAnsi"/>
        </w:rPr>
        <w:t xml:space="preserve">, de par la réforme comptable qu’elle entraine, pourrait </w:t>
      </w:r>
      <w:r w:rsidR="00BB5783" w:rsidRPr="008E25F4">
        <w:rPr>
          <w:rFonts w:cstheme="minorHAnsi"/>
        </w:rPr>
        <w:t xml:space="preserve">bien </w:t>
      </w:r>
      <w:r w:rsidR="005369B8" w:rsidRPr="008E25F4">
        <w:rPr>
          <w:rFonts w:cstheme="minorHAnsi"/>
        </w:rPr>
        <w:t>modifier l</w:t>
      </w:r>
      <w:r w:rsidR="00BB5783" w:rsidRPr="008E25F4">
        <w:rPr>
          <w:rFonts w:cstheme="minorHAnsi"/>
        </w:rPr>
        <w:t>a</w:t>
      </w:r>
      <w:r w:rsidR="005369B8" w:rsidRPr="008E25F4">
        <w:rPr>
          <w:rFonts w:cstheme="minorHAnsi"/>
        </w:rPr>
        <w:t xml:space="preserve"> gouvernance de ces organisations</w:t>
      </w:r>
      <w:r w:rsidR="00BB5783" w:rsidRPr="008E25F4">
        <w:rPr>
          <w:rFonts w:cstheme="minorHAnsi"/>
        </w:rPr>
        <w:t xml:space="preserve"> telle que nous l’avons définie</w:t>
      </w:r>
      <w:r w:rsidR="00394468" w:rsidRPr="008E25F4">
        <w:rPr>
          <w:rFonts w:cstheme="minorHAnsi"/>
        </w:rPr>
        <w:t> </w:t>
      </w:r>
      <w:r w:rsidR="0079695B" w:rsidRPr="008E25F4">
        <w:rPr>
          <w:rFonts w:cstheme="minorHAnsi"/>
        </w:rPr>
        <w:t xml:space="preserve">en favorisant le passage de relations d’agence à des relations d’intendance dans </w:t>
      </w:r>
      <w:r w:rsidR="005A149B" w:rsidRPr="008E25F4">
        <w:rPr>
          <w:rFonts w:cstheme="minorHAnsi"/>
        </w:rPr>
        <w:t xml:space="preserve">la gestion des processus de contrôle mais aussi de décisions dans la mesure où </w:t>
      </w:r>
      <w:r w:rsidR="00F2282A" w:rsidRPr="008E25F4">
        <w:rPr>
          <w:rFonts w:cstheme="minorHAnsi"/>
        </w:rPr>
        <w:t>l’impact</w:t>
      </w:r>
      <w:r w:rsidR="005A149B" w:rsidRPr="008E25F4">
        <w:rPr>
          <w:rFonts w:cstheme="minorHAnsi"/>
        </w:rPr>
        <w:t xml:space="preserve"> </w:t>
      </w:r>
      <w:r w:rsidR="00C0472D" w:rsidRPr="008E25F4">
        <w:rPr>
          <w:rFonts w:cstheme="minorHAnsi"/>
        </w:rPr>
        <w:t xml:space="preserve">des décisions </w:t>
      </w:r>
      <w:r w:rsidR="005A149B" w:rsidRPr="008E25F4">
        <w:rPr>
          <w:rFonts w:cstheme="minorHAnsi"/>
        </w:rPr>
        <w:t>politiques de l’ordonnateur sur les grandeurs financières de l’organisation (évolution du patrimoine, situation de l’endettement…)</w:t>
      </w:r>
      <w:r w:rsidR="00C0472D" w:rsidRPr="008E25F4">
        <w:rPr>
          <w:rFonts w:cstheme="minorHAnsi"/>
        </w:rPr>
        <w:t xml:space="preserve"> sera plus transparent. </w:t>
      </w:r>
    </w:p>
    <w:p w14:paraId="3348F20E" w14:textId="77777777" w:rsidR="00DA0B27" w:rsidRPr="008E25F4" w:rsidRDefault="00DA0B27" w:rsidP="00932E08">
      <w:pPr>
        <w:suppressAutoHyphens/>
        <w:jc w:val="both"/>
        <w:rPr>
          <w:rFonts w:cstheme="minorHAnsi"/>
          <w:color w:val="FF0000"/>
        </w:rPr>
      </w:pPr>
    </w:p>
    <w:p w14:paraId="107AC879" w14:textId="1A2AF77A" w:rsidR="00BB70B4" w:rsidRPr="00F8392F" w:rsidRDefault="0035265E" w:rsidP="00620E10">
      <w:pPr>
        <w:pStyle w:val="Titre1"/>
        <w:keepNext w:val="0"/>
        <w:keepLines w:val="0"/>
        <w:suppressAutoHyphens/>
        <w:spacing w:before="360" w:after="240"/>
        <w:rPr>
          <w:rFonts w:asciiTheme="minorHAnsi" w:hAnsiTheme="minorHAnsi" w:cstheme="minorHAnsi"/>
          <w:b/>
          <w:bCs/>
          <w:sz w:val="24"/>
          <w:szCs w:val="24"/>
          <w:u w:val="none"/>
        </w:rPr>
      </w:pPr>
      <w:r w:rsidRPr="00F8392F">
        <w:rPr>
          <w:rFonts w:asciiTheme="minorHAnsi" w:hAnsiTheme="minorHAnsi" w:cstheme="minorHAnsi"/>
          <w:b/>
          <w:bCs/>
          <w:sz w:val="24"/>
          <w:szCs w:val="24"/>
          <w:u w:val="none"/>
        </w:rPr>
        <w:t>Conclusion</w:t>
      </w:r>
      <w:r w:rsidR="00E91AA0" w:rsidRPr="00F8392F">
        <w:rPr>
          <w:rFonts w:asciiTheme="minorHAnsi" w:hAnsiTheme="minorHAnsi" w:cstheme="minorHAnsi"/>
          <w:b/>
          <w:bCs/>
          <w:sz w:val="24"/>
          <w:szCs w:val="24"/>
          <w:u w:val="none"/>
        </w:rPr>
        <w:t> </w:t>
      </w:r>
    </w:p>
    <w:p w14:paraId="51698513" w14:textId="7FFA3A26" w:rsidR="00CC6568" w:rsidRPr="00F8392F" w:rsidRDefault="000A23D5" w:rsidP="00932E08">
      <w:pPr>
        <w:suppressAutoHyphens/>
        <w:jc w:val="both"/>
        <w:rPr>
          <w:rFonts w:cstheme="minorHAnsi"/>
        </w:rPr>
      </w:pPr>
      <w:r w:rsidRPr="008E25F4">
        <w:rPr>
          <w:rFonts w:cstheme="minorHAnsi"/>
        </w:rPr>
        <w:t>La comptabilité des Coll</w:t>
      </w:r>
      <w:r w:rsidR="004D4731" w:rsidRPr="008E25F4">
        <w:rPr>
          <w:rFonts w:cstheme="minorHAnsi"/>
        </w:rPr>
        <w:t>ectivités Territoriales</w:t>
      </w:r>
      <w:r w:rsidRPr="008E25F4">
        <w:rPr>
          <w:rFonts w:cstheme="minorHAnsi"/>
        </w:rPr>
        <w:t xml:space="preserve"> a beaucoup évolué depuis les vingt-cinq dernières années en se rapprochant de la comptabilité privée tout en gardant ses spécificités notamment </w:t>
      </w:r>
      <w:r w:rsidR="00E94045" w:rsidRPr="008E25F4">
        <w:rPr>
          <w:rFonts w:cstheme="minorHAnsi"/>
        </w:rPr>
        <w:t xml:space="preserve">la transcription de l’exécution budgétaire. La LOLF de 2001 applicable à l’Etat a initié le processus de certification des comptes publics. La loi </w:t>
      </w:r>
      <w:proofErr w:type="spellStart"/>
      <w:r w:rsidR="00E94045" w:rsidRPr="008E25F4">
        <w:rPr>
          <w:rFonts w:cstheme="minorHAnsi"/>
        </w:rPr>
        <w:t>NOTRe</w:t>
      </w:r>
      <w:proofErr w:type="spellEnd"/>
      <w:r w:rsidR="00E94045" w:rsidRPr="008E25F4">
        <w:rPr>
          <w:rFonts w:cstheme="minorHAnsi"/>
        </w:rPr>
        <w:t xml:space="preserve"> de 2015 consacre l’expérimentation de ce processus pour vingt-cinq C</w:t>
      </w:r>
      <w:r w:rsidR="001B30E8">
        <w:rPr>
          <w:rFonts w:cstheme="minorHAnsi"/>
        </w:rPr>
        <w:t>T</w:t>
      </w:r>
      <w:r w:rsidR="00E94045" w:rsidRPr="008E25F4">
        <w:rPr>
          <w:rFonts w:cstheme="minorHAnsi"/>
        </w:rPr>
        <w:t xml:space="preserve"> à partir de 2017 par un auditeur. L’instauration de la certification des comptes a généré une réforme comptable substan</w:t>
      </w:r>
      <w:r w:rsidR="0024760B" w:rsidRPr="008E25F4">
        <w:rPr>
          <w:rFonts w:cstheme="minorHAnsi"/>
        </w:rPr>
        <w:t>t</w:t>
      </w:r>
      <w:r w:rsidR="00E94045" w:rsidRPr="008E25F4">
        <w:rPr>
          <w:rFonts w:cstheme="minorHAnsi"/>
        </w:rPr>
        <w:t>ielle avec le passage en norme M57 qui donne naissance au Compte Financier Unique en remplacement du Compte Administratif</w:t>
      </w:r>
      <w:r w:rsidR="0024760B" w:rsidRPr="008E25F4">
        <w:rPr>
          <w:rFonts w:cstheme="minorHAnsi"/>
        </w:rPr>
        <w:t xml:space="preserve"> (établi par l’ordonnateur)</w:t>
      </w:r>
      <w:r w:rsidR="00E94045" w:rsidRPr="008E25F4">
        <w:rPr>
          <w:rFonts w:cstheme="minorHAnsi"/>
        </w:rPr>
        <w:t xml:space="preserve"> </w:t>
      </w:r>
      <w:r w:rsidR="0024760B" w:rsidRPr="008E25F4">
        <w:rPr>
          <w:rFonts w:cstheme="minorHAnsi"/>
        </w:rPr>
        <w:t xml:space="preserve">et du Compte de Gestion (réalisé par le comptable public). </w:t>
      </w:r>
      <w:r w:rsidR="00410DB3" w:rsidRPr="008E25F4">
        <w:rPr>
          <w:rFonts w:cstheme="minorHAnsi"/>
        </w:rPr>
        <w:t>Les C</w:t>
      </w:r>
      <w:r w:rsidR="004D4731" w:rsidRPr="008E25F4">
        <w:rPr>
          <w:rFonts w:cstheme="minorHAnsi"/>
        </w:rPr>
        <w:t>T</w:t>
      </w:r>
      <w:r w:rsidR="00410DB3" w:rsidRPr="008E25F4">
        <w:rPr>
          <w:rFonts w:cstheme="minorHAnsi"/>
        </w:rPr>
        <w:t>, comme les entreprises privées</w:t>
      </w:r>
      <w:r w:rsidR="00CC6568" w:rsidRPr="008E25F4">
        <w:rPr>
          <w:rFonts w:cstheme="minorHAnsi"/>
        </w:rPr>
        <w:t>, sont constituées de différentes parties prenantes</w:t>
      </w:r>
      <w:r w:rsidR="0024760B" w:rsidRPr="008E25F4">
        <w:rPr>
          <w:rFonts w:cstheme="minorHAnsi"/>
        </w:rPr>
        <w:t xml:space="preserve"> dont les principales sont les </w:t>
      </w:r>
      <w:r w:rsidR="00CC6568" w:rsidRPr="008E25F4">
        <w:rPr>
          <w:rFonts w:cstheme="minorHAnsi"/>
        </w:rPr>
        <w:t xml:space="preserve">élus, </w:t>
      </w:r>
      <w:r w:rsidR="0024760B" w:rsidRPr="008E25F4">
        <w:rPr>
          <w:rFonts w:cstheme="minorHAnsi"/>
        </w:rPr>
        <w:t xml:space="preserve">le </w:t>
      </w:r>
      <w:r w:rsidR="00CC6568" w:rsidRPr="008E25F4">
        <w:rPr>
          <w:rFonts w:cstheme="minorHAnsi"/>
        </w:rPr>
        <w:t xml:space="preserve">personnel salarié, </w:t>
      </w:r>
      <w:r w:rsidR="0024760B" w:rsidRPr="008E25F4">
        <w:rPr>
          <w:rFonts w:cstheme="minorHAnsi"/>
        </w:rPr>
        <w:t xml:space="preserve">le </w:t>
      </w:r>
      <w:r w:rsidR="00CC6568" w:rsidRPr="008E25F4">
        <w:rPr>
          <w:rFonts w:cstheme="minorHAnsi"/>
        </w:rPr>
        <w:t xml:space="preserve">comptable public et </w:t>
      </w:r>
      <w:r w:rsidR="0024760B" w:rsidRPr="008E25F4">
        <w:rPr>
          <w:rFonts w:cstheme="minorHAnsi"/>
        </w:rPr>
        <w:t xml:space="preserve">les </w:t>
      </w:r>
      <w:r w:rsidR="00CC6568" w:rsidRPr="008E25F4">
        <w:rPr>
          <w:rFonts w:cstheme="minorHAnsi"/>
        </w:rPr>
        <w:t>administrés-es</w:t>
      </w:r>
      <w:r w:rsidR="0024760B" w:rsidRPr="008E25F4">
        <w:rPr>
          <w:rFonts w:cstheme="minorHAnsi"/>
        </w:rPr>
        <w:t xml:space="preserve"> ayant chacune ses intérêts. Nous avons examiné dans quelles mesures </w:t>
      </w:r>
      <w:r w:rsidR="00242A76" w:rsidRPr="008E25F4">
        <w:rPr>
          <w:rFonts w:cstheme="minorHAnsi"/>
        </w:rPr>
        <w:t>la certification des comptes des C</w:t>
      </w:r>
      <w:r w:rsidR="004D4731" w:rsidRPr="008E25F4">
        <w:rPr>
          <w:rFonts w:cstheme="minorHAnsi"/>
        </w:rPr>
        <w:t>T</w:t>
      </w:r>
      <w:r w:rsidR="00242A76" w:rsidRPr="008E25F4">
        <w:rPr>
          <w:rFonts w:cstheme="minorHAnsi"/>
        </w:rPr>
        <w:t xml:space="preserve"> notamment par la réforme comptable peut influencer les</w:t>
      </w:r>
      <w:r w:rsidR="00EC66BC" w:rsidRPr="008E25F4">
        <w:rPr>
          <w:rFonts w:cstheme="minorHAnsi"/>
        </w:rPr>
        <w:t xml:space="preserve"> </w:t>
      </w:r>
      <w:r w:rsidR="00242A76" w:rsidRPr="008E25F4">
        <w:rPr>
          <w:rFonts w:cstheme="minorHAnsi"/>
        </w:rPr>
        <w:t xml:space="preserve">relations </w:t>
      </w:r>
      <w:r w:rsidR="00BA7ADE" w:rsidRPr="008E25F4">
        <w:rPr>
          <w:rFonts w:cstheme="minorHAnsi"/>
        </w:rPr>
        <w:t xml:space="preserve">qui </w:t>
      </w:r>
      <w:r w:rsidR="00242A76" w:rsidRPr="008E25F4">
        <w:rPr>
          <w:rFonts w:cstheme="minorHAnsi"/>
        </w:rPr>
        <w:t>exist</w:t>
      </w:r>
      <w:r w:rsidR="00BA7ADE" w:rsidRPr="008E25F4">
        <w:rPr>
          <w:rFonts w:cstheme="minorHAnsi"/>
        </w:rPr>
        <w:t>e</w:t>
      </w:r>
      <w:r w:rsidR="00242A76" w:rsidRPr="008E25F4">
        <w:rPr>
          <w:rFonts w:cstheme="minorHAnsi"/>
        </w:rPr>
        <w:t>n</w:t>
      </w:r>
      <w:r w:rsidR="00EC66BC" w:rsidRPr="008E25F4">
        <w:rPr>
          <w:rFonts w:cstheme="minorHAnsi"/>
        </w:rPr>
        <w:t>t</w:t>
      </w:r>
      <w:r w:rsidR="00242A76" w:rsidRPr="008E25F4">
        <w:rPr>
          <w:rFonts w:cstheme="minorHAnsi"/>
        </w:rPr>
        <w:t xml:space="preserve"> entre ces partenaires de façon à modifier leur système de gouvernance</w:t>
      </w:r>
      <w:r w:rsidR="00DE4BE5" w:rsidRPr="008E25F4">
        <w:rPr>
          <w:rFonts w:cstheme="minorHAnsi"/>
        </w:rPr>
        <w:t xml:space="preserve"> sous l’angle des théories de l’agence et de l’intendance. </w:t>
      </w:r>
      <w:r w:rsidR="00C80D81" w:rsidRPr="008E25F4">
        <w:rPr>
          <w:rFonts w:cstheme="minorHAnsi"/>
        </w:rPr>
        <w:t>La relation entre l’élu-ordonnateur et les citoyens peut être analysée comme celle entre un agent et un principal, la certification des comptes servant de mécanisme de dédouanement de l’élu envers les administrés-es de sa C</w:t>
      </w:r>
      <w:r w:rsidR="004D4731" w:rsidRPr="008E25F4">
        <w:rPr>
          <w:rFonts w:cstheme="minorHAnsi"/>
        </w:rPr>
        <w:t>T</w:t>
      </w:r>
      <w:r w:rsidR="00C80D81" w:rsidRPr="008E25F4">
        <w:rPr>
          <w:rFonts w:cstheme="minorHAnsi"/>
        </w:rPr>
        <w:t xml:space="preserve">. Toutefois </w:t>
      </w:r>
      <w:r w:rsidR="005B7D51">
        <w:rPr>
          <w:rFonts w:cstheme="minorHAnsi"/>
        </w:rPr>
        <w:t>en raison du</w:t>
      </w:r>
      <w:r w:rsidR="00C80D81" w:rsidRPr="008E25F4">
        <w:rPr>
          <w:rFonts w:cstheme="minorHAnsi"/>
        </w:rPr>
        <w:t xml:space="preserve"> caractère non lucratif et aussi politique de la gestion de ce type d’organisation, il existe une relation d’intendance entre ces deux partenaires que la certification peut renforcer. Nous sommes dans un cas de complémentarité entre les deux théories telle que considérée par </w:t>
      </w:r>
      <w:proofErr w:type="spellStart"/>
      <w:r w:rsidR="00C80D81" w:rsidRPr="008E25F4">
        <w:rPr>
          <w:rFonts w:cstheme="minorHAnsi"/>
        </w:rPr>
        <w:t>Donalson</w:t>
      </w:r>
      <w:proofErr w:type="spellEnd"/>
      <w:r w:rsidR="00C80D81" w:rsidRPr="008E25F4">
        <w:rPr>
          <w:rFonts w:cstheme="minorHAnsi"/>
        </w:rPr>
        <w:t xml:space="preserve"> (1990), Davis et al (1997a) et V</w:t>
      </w:r>
      <w:r w:rsidR="00DA0B27" w:rsidRPr="008E25F4">
        <w:rPr>
          <w:rFonts w:cstheme="minorHAnsi"/>
        </w:rPr>
        <w:t xml:space="preserve">an </w:t>
      </w:r>
      <w:proofErr w:type="spellStart"/>
      <w:r w:rsidR="00C80D81" w:rsidRPr="008E25F4">
        <w:rPr>
          <w:rFonts w:cstheme="minorHAnsi"/>
        </w:rPr>
        <w:t>S</w:t>
      </w:r>
      <w:r w:rsidR="00DA0B27" w:rsidRPr="008E25F4">
        <w:rPr>
          <w:rFonts w:cstheme="minorHAnsi"/>
        </w:rPr>
        <w:t>lyke</w:t>
      </w:r>
      <w:proofErr w:type="spellEnd"/>
      <w:r w:rsidR="00DA0B27" w:rsidRPr="008E25F4">
        <w:rPr>
          <w:rFonts w:cstheme="minorHAnsi"/>
        </w:rPr>
        <w:t xml:space="preserve"> </w:t>
      </w:r>
      <w:r w:rsidR="00C80D81" w:rsidRPr="008E25F4">
        <w:rPr>
          <w:rFonts w:cstheme="minorHAnsi"/>
        </w:rPr>
        <w:t>(</w:t>
      </w:r>
      <w:r w:rsidR="00DA0B27" w:rsidRPr="008E25F4">
        <w:rPr>
          <w:rFonts w:cstheme="minorHAnsi"/>
        </w:rPr>
        <w:t>2007</w:t>
      </w:r>
      <w:r w:rsidR="00C80D81" w:rsidRPr="008E25F4">
        <w:rPr>
          <w:rFonts w:cstheme="minorHAnsi"/>
        </w:rPr>
        <w:t>).</w:t>
      </w:r>
      <w:r w:rsidR="00DA0B27" w:rsidRPr="008E25F4">
        <w:rPr>
          <w:rFonts w:cstheme="minorHAnsi"/>
        </w:rPr>
        <w:t xml:space="preserve"> </w:t>
      </w:r>
      <w:r w:rsidR="004621B1" w:rsidRPr="008E25F4">
        <w:rPr>
          <w:rFonts w:cstheme="minorHAnsi"/>
        </w:rPr>
        <w:t>Nous avons vu que le système comptable existant avant l’instauration de la certification des comptes, par sa construction, pouvait générer des conflits d’intérêt entre l’ordonnateur et le comptable public ou tout au moins un défaut de communication nuisible à la transparence financière</w:t>
      </w:r>
      <w:r w:rsidR="004743EA" w:rsidRPr="008E25F4">
        <w:rPr>
          <w:rFonts w:cstheme="minorHAnsi"/>
        </w:rPr>
        <w:t>. L’instauration du Compte Financier Unique et la certification des comptes par un auditeur externe indépendant nécessite un processus comptable intégré entre ordonnateur et comptable public, incluant des mécanismes de contrôle interne, favorable à une relation d’intendance entre ces deux parties prenante</w:t>
      </w:r>
      <w:r w:rsidR="00BA7ADE" w:rsidRPr="008E25F4">
        <w:rPr>
          <w:rFonts w:cstheme="minorHAnsi"/>
        </w:rPr>
        <w:t>s et susceptible de modifier le</w:t>
      </w:r>
      <w:r w:rsidR="004743EA" w:rsidRPr="008E25F4">
        <w:rPr>
          <w:rFonts w:cstheme="minorHAnsi"/>
        </w:rPr>
        <w:t xml:space="preserve"> mode de gouvernance</w:t>
      </w:r>
      <w:r w:rsidR="00BA7ADE" w:rsidRPr="008E25F4">
        <w:rPr>
          <w:rFonts w:cstheme="minorHAnsi"/>
        </w:rPr>
        <w:t xml:space="preserve">, conformément à l’évolution envisagée par Davis </w:t>
      </w:r>
      <w:r w:rsidR="00BA7ADE" w:rsidRPr="008E25F4">
        <w:rPr>
          <w:rFonts w:cstheme="minorHAnsi"/>
          <w:i/>
        </w:rPr>
        <w:t>et al</w:t>
      </w:r>
      <w:r w:rsidR="00BA7ADE" w:rsidRPr="008E25F4">
        <w:rPr>
          <w:rFonts w:cstheme="minorHAnsi"/>
        </w:rPr>
        <w:t xml:space="preserve"> (1997 b) et Albanese </w:t>
      </w:r>
      <w:r w:rsidR="00BA7ADE" w:rsidRPr="008E25F4">
        <w:rPr>
          <w:rFonts w:cstheme="minorHAnsi"/>
          <w:i/>
        </w:rPr>
        <w:t>et al</w:t>
      </w:r>
      <w:r w:rsidR="00BA7ADE" w:rsidRPr="008E25F4">
        <w:rPr>
          <w:rFonts w:cstheme="minorHAnsi"/>
        </w:rPr>
        <w:t xml:space="preserve"> (1997).</w:t>
      </w:r>
      <w:r w:rsidR="00872E64" w:rsidRPr="008E25F4">
        <w:rPr>
          <w:rFonts w:cstheme="minorHAnsi"/>
        </w:rPr>
        <w:t xml:space="preserve"> </w:t>
      </w:r>
      <w:r w:rsidR="00694582" w:rsidRPr="00F8392F">
        <w:rPr>
          <w:rFonts w:cstheme="minorHAnsi"/>
        </w:rPr>
        <w:t>Cependant, l’instauration d’une relation d’intendance entre ordonnateur et comptable public ne risque</w:t>
      </w:r>
      <w:r w:rsidR="00BF5B2A" w:rsidRPr="00F8392F">
        <w:rPr>
          <w:rFonts w:cstheme="minorHAnsi"/>
        </w:rPr>
        <w:t>-</w:t>
      </w:r>
      <w:r w:rsidR="00694582" w:rsidRPr="00F8392F">
        <w:rPr>
          <w:rFonts w:cstheme="minorHAnsi"/>
        </w:rPr>
        <w:t>t-elle pas d’anéantir l’indépendance entre eux mais aussi d’engendrer</w:t>
      </w:r>
      <w:r w:rsidR="00E00213" w:rsidRPr="00F8392F">
        <w:rPr>
          <w:rFonts w:cstheme="minorHAnsi"/>
        </w:rPr>
        <w:t>,</w:t>
      </w:r>
      <w:r w:rsidR="00694582" w:rsidRPr="00F8392F">
        <w:rPr>
          <w:rFonts w:cstheme="minorHAnsi"/>
        </w:rPr>
        <w:t xml:space="preserve"> une convergence </w:t>
      </w:r>
      <w:r w:rsidR="00BF5B2A" w:rsidRPr="00F8392F">
        <w:rPr>
          <w:rFonts w:cstheme="minorHAnsi"/>
        </w:rPr>
        <w:t>de leurs actions au détriment de l’intérêt général, c’est-à-dire du citoyen</w:t>
      </w:r>
      <w:r w:rsidR="009347E0" w:rsidRPr="00F8392F">
        <w:rPr>
          <w:rFonts w:cstheme="minorHAnsi"/>
        </w:rPr>
        <w:t xml:space="preserve"> comme décrite par </w:t>
      </w:r>
      <w:proofErr w:type="spellStart"/>
      <w:r w:rsidR="009347E0" w:rsidRPr="00F8392F">
        <w:rPr>
          <w:rFonts w:cstheme="minorHAnsi"/>
        </w:rPr>
        <w:t>Zardkoohi</w:t>
      </w:r>
      <w:proofErr w:type="spellEnd"/>
      <w:r w:rsidR="009347E0" w:rsidRPr="00F8392F">
        <w:rPr>
          <w:rFonts w:cstheme="minorHAnsi"/>
        </w:rPr>
        <w:t xml:space="preserve"> </w:t>
      </w:r>
      <w:r w:rsidR="009347E0" w:rsidRPr="00F8392F">
        <w:rPr>
          <w:rFonts w:cstheme="minorHAnsi"/>
          <w:i/>
          <w:iCs/>
        </w:rPr>
        <w:t>et al</w:t>
      </w:r>
      <w:r w:rsidR="009347E0" w:rsidRPr="00F8392F">
        <w:rPr>
          <w:rFonts w:cstheme="minorHAnsi"/>
        </w:rPr>
        <w:t xml:space="preserve"> (2017)</w:t>
      </w:r>
      <w:r w:rsidR="00BF5B2A" w:rsidRPr="00F8392F">
        <w:rPr>
          <w:rFonts w:cstheme="minorHAnsi"/>
        </w:rPr>
        <w:t xml:space="preserve"> ? </w:t>
      </w:r>
      <w:r w:rsidR="00E00213" w:rsidRPr="00F8392F">
        <w:rPr>
          <w:rFonts w:cstheme="minorHAnsi"/>
        </w:rPr>
        <w:t xml:space="preserve">La réforme comptable mise en place pour introduire la certification des comptes en CT serait alors contreproductive quant à ses objectifs. </w:t>
      </w:r>
    </w:p>
    <w:p w14:paraId="3E205B73" w14:textId="0563346E" w:rsidR="00CC6568" w:rsidRPr="008E25F4" w:rsidRDefault="00BA7ADE" w:rsidP="00932E08">
      <w:pPr>
        <w:suppressAutoHyphens/>
        <w:jc w:val="both"/>
        <w:rPr>
          <w:rFonts w:cstheme="minorHAnsi"/>
        </w:rPr>
      </w:pPr>
      <w:r w:rsidRPr="008E25F4">
        <w:rPr>
          <w:rFonts w:cstheme="minorHAnsi"/>
        </w:rPr>
        <w:t>Comme la certification « à blanc » des vingt-cinq C</w:t>
      </w:r>
      <w:r w:rsidR="004D4731" w:rsidRPr="008E25F4">
        <w:rPr>
          <w:rFonts w:cstheme="minorHAnsi"/>
        </w:rPr>
        <w:t xml:space="preserve">T </w:t>
      </w:r>
      <w:r w:rsidRPr="008E25F4">
        <w:rPr>
          <w:rFonts w:cstheme="minorHAnsi"/>
        </w:rPr>
        <w:t>portera sur les années 2020, 2021 et 2022. Nous envisageons une étude empirique afin de vérifier si la certification des comptes de ces organisations publiques a modifié les relations de gouvernance entre les parties prenantes principales.</w:t>
      </w:r>
      <w:r w:rsidR="00B510CB">
        <w:rPr>
          <w:rFonts w:cstheme="minorHAnsi"/>
        </w:rPr>
        <w:t xml:space="preserve"> </w:t>
      </w:r>
      <w:r w:rsidR="0065774E">
        <w:rPr>
          <w:rFonts w:cstheme="minorHAnsi"/>
        </w:rPr>
        <w:t xml:space="preserve">Cette étude </w:t>
      </w:r>
      <w:r w:rsidR="0065774E">
        <w:rPr>
          <w:rFonts w:cstheme="minorHAnsi"/>
        </w:rPr>
        <w:lastRenderedPageBreak/>
        <w:t>pourrait comporter des entretiens semi-directifs avec les parties concernées et une étude de documents (internes, rapports du Gouvernement, de la C des C, des certificateurs à l’issue de la période d’expérimentation etc…).</w:t>
      </w:r>
    </w:p>
    <w:p w14:paraId="062DCCEF" w14:textId="036E4A54" w:rsidR="00AC6BC0" w:rsidRPr="008E25F4" w:rsidRDefault="00AC6BC0" w:rsidP="00932E08">
      <w:pPr>
        <w:suppressAutoHyphens/>
        <w:jc w:val="both"/>
        <w:rPr>
          <w:rFonts w:cstheme="minorHAnsi"/>
          <w:u w:val="single"/>
        </w:rPr>
      </w:pPr>
    </w:p>
    <w:p w14:paraId="35006BF4" w14:textId="77777777" w:rsidR="00DA7B31" w:rsidRPr="008E25F4" w:rsidRDefault="00DA7B31" w:rsidP="00932E08">
      <w:pPr>
        <w:suppressAutoHyphens/>
        <w:jc w:val="both"/>
        <w:rPr>
          <w:rFonts w:cstheme="minorHAnsi"/>
          <w:u w:val="single"/>
        </w:rPr>
      </w:pPr>
    </w:p>
    <w:p w14:paraId="0EDB64E3" w14:textId="0D824D19" w:rsidR="00AC6BC0" w:rsidRPr="00DA7B31" w:rsidRDefault="00AC6BC0" w:rsidP="00932E08">
      <w:pPr>
        <w:suppressAutoHyphens/>
        <w:ind w:firstLine="708"/>
        <w:jc w:val="center"/>
        <w:rPr>
          <w:rFonts w:cstheme="minorHAnsi"/>
          <w:b/>
          <w:bCs/>
          <w:sz w:val="32"/>
          <w:szCs w:val="32"/>
        </w:rPr>
      </w:pPr>
      <w:r w:rsidRPr="00DA7B31">
        <w:rPr>
          <w:rFonts w:cstheme="minorHAnsi"/>
          <w:b/>
          <w:bCs/>
          <w:sz w:val="32"/>
          <w:szCs w:val="32"/>
        </w:rPr>
        <w:t>Bibliographie</w:t>
      </w:r>
    </w:p>
    <w:p w14:paraId="1B2AC4EC" w14:textId="77777777" w:rsidR="00AC6BC0" w:rsidRPr="00DA7B31" w:rsidRDefault="00AC6BC0" w:rsidP="00620E10">
      <w:pPr>
        <w:suppressAutoHyphens/>
        <w:spacing w:before="360" w:after="240"/>
        <w:jc w:val="both"/>
        <w:rPr>
          <w:rFonts w:cstheme="minorHAnsi"/>
          <w:b/>
          <w:bCs/>
          <w:sz w:val="24"/>
          <w:szCs w:val="24"/>
        </w:rPr>
      </w:pPr>
      <w:r w:rsidRPr="00DA7B31">
        <w:rPr>
          <w:rFonts w:cstheme="minorHAnsi"/>
          <w:b/>
          <w:bCs/>
          <w:sz w:val="24"/>
          <w:szCs w:val="24"/>
        </w:rPr>
        <w:t>Articles de revues :</w:t>
      </w:r>
    </w:p>
    <w:p w14:paraId="52D14AD4" w14:textId="77777777" w:rsidR="00AC6BC0" w:rsidRPr="00DA7B31" w:rsidRDefault="00AC6BC0" w:rsidP="00932E08">
      <w:pPr>
        <w:suppressAutoHyphens/>
        <w:spacing w:after="0"/>
        <w:jc w:val="both"/>
        <w:rPr>
          <w:rFonts w:cstheme="minorHAnsi"/>
          <w:sz w:val="20"/>
          <w:szCs w:val="20"/>
        </w:rPr>
      </w:pPr>
      <w:proofErr w:type="spellStart"/>
      <w:r w:rsidRPr="00DA7B31">
        <w:rPr>
          <w:rFonts w:cstheme="minorHAnsi"/>
          <w:sz w:val="20"/>
          <w:szCs w:val="20"/>
        </w:rPr>
        <w:t>Abzug</w:t>
      </w:r>
      <w:proofErr w:type="spellEnd"/>
      <w:r w:rsidRPr="00DA7B31">
        <w:rPr>
          <w:rFonts w:cstheme="minorHAnsi"/>
          <w:sz w:val="20"/>
          <w:szCs w:val="20"/>
        </w:rPr>
        <w:t xml:space="preserve"> R et Webb N.J (1999) : « </w:t>
      </w:r>
      <w:proofErr w:type="spellStart"/>
      <w:r w:rsidRPr="00DA7B31">
        <w:rPr>
          <w:rFonts w:cstheme="minorHAnsi"/>
          <w:sz w:val="20"/>
          <w:szCs w:val="20"/>
        </w:rPr>
        <w:t>Relationships</w:t>
      </w:r>
      <w:proofErr w:type="spellEnd"/>
      <w:r w:rsidRPr="00DA7B31">
        <w:rPr>
          <w:rFonts w:cstheme="minorHAnsi"/>
          <w:sz w:val="20"/>
          <w:szCs w:val="20"/>
        </w:rPr>
        <w:t xml:space="preserve"> </w:t>
      </w:r>
      <w:proofErr w:type="spellStart"/>
      <w:r w:rsidRPr="00DA7B31">
        <w:rPr>
          <w:rFonts w:cstheme="minorHAnsi"/>
          <w:sz w:val="20"/>
          <w:szCs w:val="20"/>
        </w:rPr>
        <w:t>between</w:t>
      </w:r>
      <w:proofErr w:type="spellEnd"/>
      <w:r w:rsidRPr="00DA7B31">
        <w:rPr>
          <w:rFonts w:cstheme="minorHAnsi"/>
          <w:sz w:val="20"/>
          <w:szCs w:val="20"/>
        </w:rPr>
        <w:t xml:space="preserve"> </w:t>
      </w:r>
      <w:proofErr w:type="spellStart"/>
      <w:r w:rsidRPr="00DA7B31">
        <w:rPr>
          <w:rFonts w:cstheme="minorHAnsi"/>
          <w:sz w:val="20"/>
          <w:szCs w:val="20"/>
        </w:rPr>
        <w:t>nonprofit</w:t>
      </w:r>
      <w:proofErr w:type="spellEnd"/>
      <w:r w:rsidRPr="00DA7B31">
        <w:rPr>
          <w:rFonts w:cstheme="minorHAnsi"/>
          <w:sz w:val="20"/>
          <w:szCs w:val="20"/>
        </w:rPr>
        <w:t xml:space="preserve"> and for-profit </w:t>
      </w:r>
      <w:proofErr w:type="spellStart"/>
      <w:r w:rsidRPr="00DA7B31">
        <w:rPr>
          <w:rFonts w:cstheme="minorHAnsi"/>
          <w:sz w:val="20"/>
          <w:szCs w:val="20"/>
        </w:rPr>
        <w:t>organizations</w:t>
      </w:r>
      <w:proofErr w:type="spellEnd"/>
      <w:r w:rsidRPr="00DA7B31">
        <w:rPr>
          <w:rFonts w:cstheme="minorHAnsi"/>
          <w:sz w:val="20"/>
          <w:szCs w:val="20"/>
        </w:rPr>
        <w:t xml:space="preserve"> : A stakeholders perspective », </w:t>
      </w:r>
      <w:proofErr w:type="spellStart"/>
      <w:r w:rsidRPr="00A60E81">
        <w:rPr>
          <w:rFonts w:cstheme="minorHAnsi"/>
          <w:i/>
          <w:iCs/>
          <w:sz w:val="20"/>
          <w:szCs w:val="20"/>
        </w:rPr>
        <w:t>Nonprofit</w:t>
      </w:r>
      <w:proofErr w:type="spellEnd"/>
      <w:r w:rsidRPr="00A60E81">
        <w:rPr>
          <w:rFonts w:cstheme="minorHAnsi"/>
          <w:i/>
          <w:iCs/>
          <w:sz w:val="20"/>
          <w:szCs w:val="20"/>
        </w:rPr>
        <w:t xml:space="preserve"> and </w:t>
      </w:r>
      <w:proofErr w:type="spellStart"/>
      <w:r w:rsidRPr="00A60E81">
        <w:rPr>
          <w:rFonts w:cstheme="minorHAnsi"/>
          <w:i/>
          <w:iCs/>
          <w:sz w:val="20"/>
          <w:szCs w:val="20"/>
        </w:rPr>
        <w:t>Voluntary</w:t>
      </w:r>
      <w:proofErr w:type="spellEnd"/>
      <w:r w:rsidRPr="00A60E81">
        <w:rPr>
          <w:rFonts w:cstheme="minorHAnsi"/>
          <w:i/>
          <w:iCs/>
          <w:sz w:val="20"/>
          <w:szCs w:val="20"/>
        </w:rPr>
        <w:t xml:space="preserve"> </w:t>
      </w:r>
      <w:proofErr w:type="spellStart"/>
      <w:r w:rsidRPr="00A60E81">
        <w:rPr>
          <w:rFonts w:cstheme="minorHAnsi"/>
          <w:i/>
          <w:iCs/>
          <w:sz w:val="20"/>
          <w:szCs w:val="20"/>
        </w:rPr>
        <w:t>Sector</w:t>
      </w:r>
      <w:proofErr w:type="spellEnd"/>
      <w:r w:rsidRPr="00A60E81">
        <w:rPr>
          <w:rFonts w:cstheme="minorHAnsi"/>
          <w:i/>
          <w:iCs/>
          <w:sz w:val="20"/>
          <w:szCs w:val="20"/>
        </w:rPr>
        <w:t xml:space="preserve"> </w:t>
      </w:r>
      <w:proofErr w:type="spellStart"/>
      <w:r w:rsidRPr="00A60E81">
        <w:rPr>
          <w:rFonts w:cstheme="minorHAnsi"/>
          <w:i/>
          <w:iCs/>
          <w:sz w:val="20"/>
          <w:szCs w:val="20"/>
        </w:rPr>
        <w:t>Quartorly</w:t>
      </w:r>
      <w:proofErr w:type="spellEnd"/>
      <w:r w:rsidRPr="00DA7B31">
        <w:rPr>
          <w:rFonts w:cstheme="minorHAnsi"/>
          <w:sz w:val="20"/>
          <w:szCs w:val="20"/>
        </w:rPr>
        <w:t>, n°28, p 416-431</w:t>
      </w:r>
    </w:p>
    <w:p w14:paraId="42309097" w14:textId="77777777" w:rsidR="00AC6BC0" w:rsidRPr="00A60E81" w:rsidRDefault="00AC6BC0" w:rsidP="00932E08">
      <w:pPr>
        <w:suppressAutoHyphens/>
        <w:spacing w:after="0"/>
        <w:jc w:val="both"/>
        <w:rPr>
          <w:rFonts w:cstheme="minorHAnsi"/>
          <w:sz w:val="20"/>
          <w:szCs w:val="20"/>
        </w:rPr>
      </w:pPr>
      <w:proofErr w:type="spellStart"/>
      <w:r w:rsidRPr="00DA7B31">
        <w:rPr>
          <w:rFonts w:cstheme="minorHAnsi"/>
          <w:sz w:val="20"/>
          <w:szCs w:val="20"/>
        </w:rPr>
        <w:t>Adans</w:t>
      </w:r>
      <w:proofErr w:type="spellEnd"/>
      <w:r w:rsidRPr="00DA7B31">
        <w:rPr>
          <w:rFonts w:cstheme="minorHAnsi"/>
          <w:sz w:val="20"/>
          <w:szCs w:val="20"/>
        </w:rPr>
        <w:t xml:space="preserve"> B (2018) : « La comptabilité d’entreprise aura-t-elle raison de la comptabilité publique ? », </w:t>
      </w:r>
      <w:r w:rsidRPr="00A60E81">
        <w:rPr>
          <w:rFonts w:cstheme="minorHAnsi"/>
          <w:i/>
          <w:iCs/>
          <w:sz w:val="20"/>
          <w:szCs w:val="20"/>
        </w:rPr>
        <w:t>Gestion et Finances Publiques</w:t>
      </w:r>
      <w:r w:rsidRPr="00A60E81">
        <w:rPr>
          <w:rFonts w:cstheme="minorHAnsi"/>
          <w:sz w:val="20"/>
          <w:szCs w:val="20"/>
        </w:rPr>
        <w:t>, n°1, p 76-83</w:t>
      </w:r>
    </w:p>
    <w:p w14:paraId="5C27C812"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Albanese R </w:t>
      </w:r>
      <w:r w:rsidRPr="00DA7B31">
        <w:rPr>
          <w:rFonts w:cstheme="minorHAnsi"/>
          <w:i/>
          <w:sz w:val="20"/>
          <w:szCs w:val="20"/>
        </w:rPr>
        <w:t>et al</w:t>
      </w:r>
      <w:r w:rsidRPr="00DA7B31">
        <w:rPr>
          <w:rFonts w:cstheme="minorHAnsi"/>
          <w:sz w:val="20"/>
          <w:szCs w:val="20"/>
        </w:rPr>
        <w:t xml:space="preserve"> (1997) : « Agents as Stewards », </w:t>
      </w:r>
      <w:r w:rsidRPr="00A60E81">
        <w:rPr>
          <w:rFonts w:cstheme="minorHAnsi"/>
          <w:i/>
          <w:iCs/>
          <w:sz w:val="20"/>
          <w:szCs w:val="20"/>
        </w:rPr>
        <w:t xml:space="preserve">Academic of Management </w:t>
      </w:r>
      <w:proofErr w:type="spellStart"/>
      <w:r w:rsidRPr="00A60E81">
        <w:rPr>
          <w:rFonts w:cstheme="minorHAnsi"/>
          <w:i/>
          <w:iCs/>
          <w:sz w:val="20"/>
          <w:szCs w:val="20"/>
        </w:rPr>
        <w:t>Review</w:t>
      </w:r>
      <w:proofErr w:type="spellEnd"/>
      <w:r w:rsidRPr="00DA7B31">
        <w:rPr>
          <w:rFonts w:cstheme="minorHAnsi"/>
          <w:sz w:val="20"/>
          <w:szCs w:val="20"/>
        </w:rPr>
        <w:t>, vol 22, n°3, p 609-613</w:t>
      </w:r>
    </w:p>
    <w:p w14:paraId="7D3344DC" w14:textId="1F6807C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Avey</w:t>
      </w:r>
      <w:proofErr w:type="spellEnd"/>
      <w:r w:rsidRPr="00DA7B31">
        <w:rPr>
          <w:rFonts w:cstheme="minorHAnsi"/>
          <w:sz w:val="20"/>
          <w:szCs w:val="20"/>
        </w:rPr>
        <w:t xml:space="preserve"> </w:t>
      </w:r>
      <w:r w:rsidRPr="00DA7B31">
        <w:rPr>
          <w:rFonts w:cstheme="minorHAnsi"/>
          <w:i/>
          <w:sz w:val="20"/>
          <w:szCs w:val="20"/>
        </w:rPr>
        <w:t>et al (</w:t>
      </w:r>
      <w:r w:rsidRPr="00DA7B31">
        <w:rPr>
          <w:rFonts w:cstheme="minorHAnsi"/>
          <w:sz w:val="20"/>
          <w:szCs w:val="20"/>
        </w:rPr>
        <w:t>2009) : « </w:t>
      </w:r>
      <w:proofErr w:type="spellStart"/>
      <w:r w:rsidRPr="00DA7B31">
        <w:rPr>
          <w:rFonts w:cstheme="minorHAnsi"/>
          <w:sz w:val="20"/>
          <w:szCs w:val="20"/>
        </w:rPr>
        <w:t>Psychological</w:t>
      </w:r>
      <w:proofErr w:type="spellEnd"/>
      <w:r w:rsidRPr="00DA7B31">
        <w:rPr>
          <w:rFonts w:cstheme="minorHAnsi"/>
          <w:sz w:val="20"/>
          <w:szCs w:val="20"/>
        </w:rPr>
        <w:t xml:space="preserve"> </w:t>
      </w:r>
      <w:proofErr w:type="spellStart"/>
      <w:r w:rsidRPr="00DA7B31">
        <w:rPr>
          <w:rFonts w:cstheme="minorHAnsi"/>
          <w:sz w:val="20"/>
          <w:szCs w:val="20"/>
        </w:rPr>
        <w:t>ownership</w:t>
      </w:r>
      <w:proofErr w:type="spellEnd"/>
      <w:r w:rsidRPr="00DA7B31">
        <w:rPr>
          <w:rFonts w:cstheme="minorHAnsi"/>
          <w:sz w:val="20"/>
          <w:szCs w:val="20"/>
        </w:rPr>
        <w:t xml:space="preserve"> : </w:t>
      </w:r>
      <w:proofErr w:type="spellStart"/>
      <w:r w:rsidRPr="00DA7B31">
        <w:rPr>
          <w:rFonts w:cstheme="minorHAnsi"/>
          <w:sz w:val="20"/>
          <w:szCs w:val="20"/>
        </w:rPr>
        <w:t>Theoretical</w:t>
      </w:r>
      <w:proofErr w:type="spellEnd"/>
      <w:r w:rsidRPr="00DA7B31">
        <w:rPr>
          <w:rFonts w:cstheme="minorHAnsi"/>
          <w:sz w:val="20"/>
          <w:szCs w:val="20"/>
        </w:rPr>
        <w:t xml:space="preserve"> extensions, </w:t>
      </w:r>
      <w:proofErr w:type="spellStart"/>
      <w:r w:rsidRPr="00DA7B31">
        <w:rPr>
          <w:rFonts w:cstheme="minorHAnsi"/>
          <w:sz w:val="20"/>
          <w:szCs w:val="20"/>
        </w:rPr>
        <w:t>meas</w:t>
      </w:r>
      <w:r w:rsidR="00A60E81">
        <w:rPr>
          <w:rFonts w:cstheme="minorHAnsi"/>
          <w:sz w:val="20"/>
          <w:szCs w:val="20"/>
        </w:rPr>
        <w:t>u</w:t>
      </w:r>
      <w:r w:rsidRPr="00DA7B31">
        <w:rPr>
          <w:rFonts w:cstheme="minorHAnsi"/>
          <w:sz w:val="20"/>
          <w:szCs w:val="20"/>
        </w:rPr>
        <w:t>rement</w:t>
      </w:r>
      <w:proofErr w:type="spellEnd"/>
      <w:r w:rsidRPr="00DA7B31">
        <w:rPr>
          <w:rFonts w:cstheme="minorHAnsi"/>
          <w:sz w:val="20"/>
          <w:szCs w:val="20"/>
        </w:rPr>
        <w:t xml:space="preserve"> and relation to </w:t>
      </w:r>
      <w:proofErr w:type="spellStart"/>
      <w:r w:rsidRPr="00DA7B31">
        <w:rPr>
          <w:rFonts w:cstheme="minorHAnsi"/>
          <w:sz w:val="20"/>
          <w:szCs w:val="20"/>
        </w:rPr>
        <w:t>work</w:t>
      </w:r>
      <w:proofErr w:type="spellEnd"/>
      <w:r w:rsidRPr="00DA7B31">
        <w:rPr>
          <w:rFonts w:cstheme="minorHAnsi"/>
          <w:sz w:val="20"/>
          <w:szCs w:val="20"/>
        </w:rPr>
        <w:t xml:space="preserve"> </w:t>
      </w:r>
      <w:proofErr w:type="spellStart"/>
      <w:r w:rsidRPr="00DA7B31">
        <w:rPr>
          <w:rFonts w:cstheme="minorHAnsi"/>
          <w:sz w:val="20"/>
          <w:szCs w:val="20"/>
        </w:rPr>
        <w:t>outcomes</w:t>
      </w:r>
      <w:proofErr w:type="spellEnd"/>
      <w:r w:rsidRPr="00DA7B31">
        <w:rPr>
          <w:rFonts w:cstheme="minorHAnsi"/>
          <w:sz w:val="20"/>
          <w:szCs w:val="20"/>
        </w:rPr>
        <w:t xml:space="preserve"> », </w:t>
      </w:r>
      <w:r w:rsidRPr="00A60E81">
        <w:rPr>
          <w:rFonts w:cstheme="minorHAnsi"/>
          <w:i/>
          <w:iCs/>
          <w:sz w:val="20"/>
          <w:szCs w:val="20"/>
        </w:rPr>
        <w:t xml:space="preserve">Journal of </w:t>
      </w:r>
      <w:proofErr w:type="spellStart"/>
      <w:r w:rsidRPr="00A60E81">
        <w:rPr>
          <w:rFonts w:cstheme="minorHAnsi"/>
          <w:i/>
          <w:iCs/>
          <w:sz w:val="20"/>
          <w:szCs w:val="20"/>
        </w:rPr>
        <w:t>Organizational</w:t>
      </w:r>
      <w:proofErr w:type="spellEnd"/>
      <w:r w:rsidRPr="00A60E81">
        <w:rPr>
          <w:rFonts w:cstheme="minorHAnsi"/>
          <w:i/>
          <w:iCs/>
          <w:sz w:val="20"/>
          <w:szCs w:val="20"/>
        </w:rPr>
        <w:t xml:space="preserve"> </w:t>
      </w:r>
      <w:proofErr w:type="spellStart"/>
      <w:r w:rsidRPr="00A60E81">
        <w:rPr>
          <w:rFonts w:cstheme="minorHAnsi"/>
          <w:i/>
          <w:iCs/>
          <w:sz w:val="20"/>
          <w:szCs w:val="20"/>
        </w:rPr>
        <w:t>Behavior</w:t>
      </w:r>
      <w:proofErr w:type="spellEnd"/>
      <w:r w:rsidRPr="00DA7B31">
        <w:rPr>
          <w:rFonts w:cstheme="minorHAnsi"/>
          <w:sz w:val="20"/>
          <w:szCs w:val="20"/>
        </w:rPr>
        <w:t>, n°30, p 173-191</w:t>
      </w:r>
    </w:p>
    <w:p w14:paraId="32E5A276" w14:textId="77777777" w:rsidR="00AC6BC0" w:rsidRPr="00DA7B31" w:rsidRDefault="00AC6BC0" w:rsidP="00932E08">
      <w:pPr>
        <w:suppressAutoHyphens/>
        <w:jc w:val="both"/>
        <w:rPr>
          <w:rFonts w:cstheme="minorHAnsi"/>
          <w:sz w:val="20"/>
          <w:szCs w:val="20"/>
        </w:rPr>
      </w:pPr>
      <w:r w:rsidRPr="00DA7B31">
        <w:rPr>
          <w:rFonts w:cstheme="minorHAnsi"/>
          <w:sz w:val="20"/>
          <w:szCs w:val="20"/>
        </w:rPr>
        <w:t>Bachir-</w:t>
      </w:r>
      <w:proofErr w:type="spellStart"/>
      <w:r w:rsidRPr="00DA7B31">
        <w:rPr>
          <w:rFonts w:cstheme="minorHAnsi"/>
          <w:sz w:val="20"/>
          <w:szCs w:val="20"/>
        </w:rPr>
        <w:t>Bendaoud</w:t>
      </w:r>
      <w:proofErr w:type="spellEnd"/>
      <w:r w:rsidRPr="00DA7B31">
        <w:rPr>
          <w:rFonts w:cstheme="minorHAnsi"/>
          <w:sz w:val="20"/>
          <w:szCs w:val="20"/>
        </w:rPr>
        <w:t xml:space="preserve"> H (2018) : « Le rôle de la comptabilité et la connaissance du patrimoine local », </w:t>
      </w:r>
      <w:r w:rsidRPr="00A60E81">
        <w:rPr>
          <w:rFonts w:cstheme="minorHAnsi"/>
          <w:i/>
          <w:iCs/>
          <w:sz w:val="20"/>
          <w:szCs w:val="20"/>
        </w:rPr>
        <w:t>Gestion et</w:t>
      </w:r>
      <w:r w:rsidRPr="00DA7B31">
        <w:rPr>
          <w:rFonts w:cstheme="minorHAnsi"/>
          <w:sz w:val="20"/>
          <w:szCs w:val="20"/>
        </w:rPr>
        <w:t xml:space="preserve"> </w:t>
      </w:r>
      <w:r w:rsidRPr="00A60E81">
        <w:rPr>
          <w:rFonts w:cstheme="minorHAnsi"/>
          <w:i/>
          <w:iCs/>
          <w:sz w:val="20"/>
          <w:szCs w:val="20"/>
        </w:rPr>
        <w:t>Finances Publiques</w:t>
      </w:r>
      <w:r w:rsidRPr="00DA7B31">
        <w:rPr>
          <w:rFonts w:cstheme="minorHAnsi"/>
          <w:sz w:val="20"/>
          <w:szCs w:val="20"/>
        </w:rPr>
        <w:t>, n°6, p 14-18</w:t>
      </w:r>
    </w:p>
    <w:p w14:paraId="6D438A99" w14:textId="47B4E895" w:rsidR="008E10A3" w:rsidRPr="00DA7B31" w:rsidRDefault="008E10A3" w:rsidP="00932E08">
      <w:pPr>
        <w:suppressAutoHyphens/>
        <w:jc w:val="both"/>
        <w:rPr>
          <w:rFonts w:cstheme="minorHAnsi"/>
          <w:sz w:val="20"/>
          <w:szCs w:val="20"/>
        </w:rPr>
      </w:pPr>
      <w:r w:rsidRPr="00DA7B31">
        <w:rPr>
          <w:rFonts w:cstheme="minorHAnsi"/>
          <w:sz w:val="20"/>
          <w:szCs w:val="20"/>
        </w:rPr>
        <w:t xml:space="preserve">Bo D, </w:t>
      </w:r>
      <w:proofErr w:type="spellStart"/>
      <w:r w:rsidRPr="00DA7B31">
        <w:rPr>
          <w:rFonts w:cstheme="minorHAnsi"/>
          <w:sz w:val="20"/>
          <w:szCs w:val="20"/>
        </w:rPr>
        <w:t>Luu</w:t>
      </w:r>
      <w:proofErr w:type="spellEnd"/>
      <w:r w:rsidRPr="00DA7B31">
        <w:rPr>
          <w:rFonts w:cstheme="minorHAnsi"/>
          <w:sz w:val="20"/>
          <w:szCs w:val="20"/>
        </w:rPr>
        <w:t xml:space="preserve"> P (2011) : « Audit public, audit privé », 32è congrès de l’AFC, Montpellier, 15 p</w:t>
      </w:r>
    </w:p>
    <w:p w14:paraId="549B01D9" w14:textId="1B2D1E69" w:rsidR="00AC6BC0" w:rsidRPr="00DA7B31" w:rsidRDefault="00AC6BC0" w:rsidP="00932E08">
      <w:pPr>
        <w:suppressAutoHyphens/>
        <w:jc w:val="both"/>
        <w:rPr>
          <w:rFonts w:cstheme="minorHAnsi"/>
          <w:sz w:val="20"/>
          <w:szCs w:val="20"/>
        </w:rPr>
      </w:pPr>
      <w:r w:rsidRPr="00DA7B31">
        <w:rPr>
          <w:rFonts w:cstheme="minorHAnsi"/>
          <w:sz w:val="20"/>
          <w:szCs w:val="20"/>
        </w:rPr>
        <w:t>Brown W.A (2005) : « </w:t>
      </w:r>
      <w:proofErr w:type="spellStart"/>
      <w:r w:rsidRPr="00DA7B31">
        <w:rPr>
          <w:rFonts w:cstheme="minorHAnsi"/>
          <w:sz w:val="20"/>
          <w:szCs w:val="20"/>
        </w:rPr>
        <w:t>Exploring</w:t>
      </w:r>
      <w:proofErr w:type="spellEnd"/>
      <w:r w:rsidRPr="00DA7B31">
        <w:rPr>
          <w:rFonts w:cstheme="minorHAnsi"/>
          <w:sz w:val="20"/>
          <w:szCs w:val="20"/>
        </w:rPr>
        <w:t xml:space="preserve"> the association </w:t>
      </w:r>
      <w:proofErr w:type="spellStart"/>
      <w:r w:rsidRPr="00DA7B31">
        <w:rPr>
          <w:rFonts w:cstheme="minorHAnsi"/>
          <w:sz w:val="20"/>
          <w:szCs w:val="20"/>
        </w:rPr>
        <w:t>between</w:t>
      </w:r>
      <w:proofErr w:type="spellEnd"/>
      <w:r w:rsidRPr="00DA7B31">
        <w:rPr>
          <w:rFonts w:cstheme="minorHAnsi"/>
          <w:sz w:val="20"/>
          <w:szCs w:val="20"/>
        </w:rPr>
        <w:t xml:space="preserve"> </w:t>
      </w:r>
      <w:proofErr w:type="spellStart"/>
      <w:r w:rsidRPr="00DA7B31">
        <w:rPr>
          <w:rFonts w:cstheme="minorHAnsi"/>
          <w:sz w:val="20"/>
          <w:szCs w:val="20"/>
        </w:rPr>
        <w:t>board</w:t>
      </w:r>
      <w:proofErr w:type="spellEnd"/>
      <w:r w:rsidRPr="00DA7B31">
        <w:rPr>
          <w:rFonts w:cstheme="minorHAnsi"/>
          <w:sz w:val="20"/>
          <w:szCs w:val="20"/>
        </w:rPr>
        <w:t xml:space="preserve"> and </w:t>
      </w:r>
      <w:proofErr w:type="spellStart"/>
      <w:r w:rsidRPr="00DA7B31">
        <w:rPr>
          <w:rFonts w:cstheme="minorHAnsi"/>
          <w:sz w:val="20"/>
          <w:szCs w:val="20"/>
        </w:rPr>
        <w:t>organizational</w:t>
      </w:r>
      <w:proofErr w:type="spellEnd"/>
      <w:r w:rsidRPr="00DA7B31">
        <w:rPr>
          <w:rFonts w:cstheme="minorHAnsi"/>
          <w:sz w:val="20"/>
          <w:szCs w:val="20"/>
        </w:rPr>
        <w:t xml:space="preserve"> performance in </w:t>
      </w:r>
      <w:proofErr w:type="spellStart"/>
      <w:r w:rsidRPr="00DA7B31">
        <w:rPr>
          <w:rFonts w:cstheme="minorHAnsi"/>
          <w:sz w:val="20"/>
          <w:szCs w:val="20"/>
        </w:rPr>
        <w:t>nonprofits</w:t>
      </w:r>
      <w:proofErr w:type="spellEnd"/>
      <w:r w:rsidRPr="00DA7B31">
        <w:rPr>
          <w:rFonts w:cstheme="minorHAnsi"/>
          <w:sz w:val="20"/>
          <w:szCs w:val="20"/>
        </w:rPr>
        <w:t xml:space="preserve"> </w:t>
      </w:r>
      <w:proofErr w:type="spellStart"/>
      <w:r w:rsidRPr="00DA7B31">
        <w:rPr>
          <w:rFonts w:cstheme="minorHAnsi"/>
          <w:sz w:val="20"/>
          <w:szCs w:val="20"/>
        </w:rPr>
        <w:t>organizations</w:t>
      </w:r>
      <w:proofErr w:type="spellEnd"/>
      <w:r w:rsidRPr="00DA7B31">
        <w:rPr>
          <w:rFonts w:cstheme="minorHAnsi"/>
          <w:sz w:val="20"/>
          <w:szCs w:val="20"/>
        </w:rPr>
        <w:t xml:space="preserve"> », </w:t>
      </w:r>
      <w:proofErr w:type="spellStart"/>
      <w:r w:rsidRPr="008B3D5C">
        <w:rPr>
          <w:rFonts w:cstheme="minorHAnsi"/>
          <w:i/>
          <w:iCs/>
          <w:sz w:val="20"/>
          <w:szCs w:val="20"/>
        </w:rPr>
        <w:t>Nonprofit</w:t>
      </w:r>
      <w:proofErr w:type="spellEnd"/>
      <w:r w:rsidRPr="008B3D5C">
        <w:rPr>
          <w:rFonts w:cstheme="minorHAnsi"/>
          <w:i/>
          <w:iCs/>
          <w:sz w:val="20"/>
          <w:szCs w:val="20"/>
        </w:rPr>
        <w:t xml:space="preserve"> Management &amp; Leadership</w:t>
      </w:r>
      <w:r w:rsidRPr="00DA7B31">
        <w:rPr>
          <w:rFonts w:cstheme="minorHAnsi"/>
          <w:sz w:val="20"/>
          <w:szCs w:val="20"/>
        </w:rPr>
        <w:t>, 15, p317-339</w:t>
      </w:r>
    </w:p>
    <w:p w14:paraId="2CF46103" w14:textId="6320E0E4" w:rsidR="00381A46" w:rsidRPr="008B3D5C" w:rsidRDefault="00381A46" w:rsidP="00932E08">
      <w:pPr>
        <w:suppressAutoHyphens/>
        <w:jc w:val="both"/>
        <w:rPr>
          <w:rFonts w:cstheme="minorHAnsi"/>
          <w:sz w:val="20"/>
          <w:szCs w:val="20"/>
        </w:rPr>
      </w:pPr>
      <w:proofErr w:type="spellStart"/>
      <w:r w:rsidRPr="008B3D5C">
        <w:rPr>
          <w:rFonts w:cstheme="minorHAnsi"/>
          <w:sz w:val="20"/>
          <w:szCs w:val="20"/>
        </w:rPr>
        <w:t>Carassus</w:t>
      </w:r>
      <w:proofErr w:type="spellEnd"/>
      <w:r w:rsidRPr="008B3D5C">
        <w:rPr>
          <w:rFonts w:cstheme="minorHAnsi"/>
          <w:sz w:val="20"/>
          <w:szCs w:val="20"/>
        </w:rPr>
        <w:t xml:space="preserve"> D, Rigal JJ (1999) : « Les contrôles externes des finances locales en Europe et en Amérique du Nord : vers un modèle hybride ? », </w:t>
      </w:r>
      <w:r w:rsidRPr="008B3D5C">
        <w:rPr>
          <w:rFonts w:cstheme="minorHAnsi"/>
          <w:i/>
          <w:iCs/>
          <w:sz w:val="20"/>
          <w:szCs w:val="20"/>
        </w:rPr>
        <w:t>Revue Française de Comptabilité</w:t>
      </w:r>
      <w:r w:rsidRPr="008B3D5C">
        <w:rPr>
          <w:rFonts w:cstheme="minorHAnsi"/>
          <w:sz w:val="20"/>
          <w:szCs w:val="20"/>
        </w:rPr>
        <w:t>, avril</w:t>
      </w:r>
    </w:p>
    <w:p w14:paraId="4D65F927" w14:textId="2B1C7338" w:rsidR="00863E4E" w:rsidRPr="00DA7B31" w:rsidRDefault="008E10A3" w:rsidP="00932E08">
      <w:pPr>
        <w:suppressAutoHyphens/>
        <w:jc w:val="both"/>
        <w:rPr>
          <w:rFonts w:cstheme="minorHAnsi"/>
          <w:sz w:val="20"/>
          <w:szCs w:val="20"/>
        </w:rPr>
      </w:pPr>
      <w:proofErr w:type="spellStart"/>
      <w:r w:rsidRPr="008B3D5C">
        <w:rPr>
          <w:rFonts w:cstheme="minorHAnsi"/>
          <w:sz w:val="20"/>
          <w:szCs w:val="20"/>
        </w:rPr>
        <w:t>Carassus</w:t>
      </w:r>
      <w:proofErr w:type="spellEnd"/>
      <w:r w:rsidRPr="008B3D5C">
        <w:rPr>
          <w:rFonts w:cstheme="minorHAnsi"/>
          <w:sz w:val="20"/>
          <w:szCs w:val="20"/>
        </w:rPr>
        <w:t xml:space="preserve"> D (2003) : « Les contrôles externes légaux des collectivités locales : les voies d’évolution », </w:t>
      </w:r>
      <w:r w:rsidRPr="008B3D5C">
        <w:rPr>
          <w:rFonts w:cstheme="minorHAnsi"/>
          <w:i/>
          <w:iCs/>
          <w:sz w:val="20"/>
          <w:szCs w:val="20"/>
        </w:rPr>
        <w:t>Revue Française de Comptabilité</w:t>
      </w:r>
      <w:r w:rsidRPr="00DA7B31">
        <w:rPr>
          <w:rFonts w:cstheme="minorHAnsi"/>
          <w:sz w:val="20"/>
          <w:szCs w:val="20"/>
        </w:rPr>
        <w:t>, n°361,</w:t>
      </w:r>
      <w:r w:rsidR="00F61D1E" w:rsidRPr="00DA7B31">
        <w:rPr>
          <w:rFonts w:cstheme="minorHAnsi"/>
          <w:sz w:val="20"/>
          <w:szCs w:val="20"/>
        </w:rPr>
        <w:t xml:space="preserve"> janvier</w:t>
      </w:r>
    </w:p>
    <w:p w14:paraId="393A4AB1" w14:textId="37D9ADEF" w:rsidR="008E10A3" w:rsidRPr="00DA7B31" w:rsidRDefault="008E10A3" w:rsidP="00932E08">
      <w:pPr>
        <w:suppressAutoHyphens/>
        <w:jc w:val="both"/>
        <w:rPr>
          <w:rFonts w:cstheme="minorHAnsi"/>
          <w:sz w:val="20"/>
          <w:szCs w:val="20"/>
        </w:rPr>
      </w:pPr>
      <w:proofErr w:type="spellStart"/>
      <w:r w:rsidRPr="00DA7B31">
        <w:rPr>
          <w:rFonts w:cstheme="minorHAnsi"/>
          <w:sz w:val="20"/>
          <w:szCs w:val="20"/>
        </w:rPr>
        <w:t>Choffel</w:t>
      </w:r>
      <w:proofErr w:type="spellEnd"/>
      <w:r w:rsidRPr="00DA7B31">
        <w:rPr>
          <w:rFonts w:cstheme="minorHAnsi"/>
          <w:sz w:val="20"/>
          <w:szCs w:val="20"/>
        </w:rPr>
        <w:t xml:space="preserve"> D, Aldrin J (2015) : « Réflexions autour de la notion d</w:t>
      </w:r>
      <w:proofErr w:type="gramStart"/>
      <w:r w:rsidRPr="00DA7B31">
        <w:rPr>
          <w:rFonts w:cstheme="minorHAnsi"/>
          <w:sz w:val="20"/>
          <w:szCs w:val="20"/>
        </w:rPr>
        <w:t>’«</w:t>
      </w:r>
      <w:proofErr w:type="gramEnd"/>
      <w:r w:rsidRPr="00DA7B31">
        <w:rPr>
          <w:rFonts w:cstheme="minorHAnsi"/>
          <w:sz w:val="20"/>
          <w:szCs w:val="20"/>
        </w:rPr>
        <w:t> </w:t>
      </w:r>
      <w:proofErr w:type="spellStart"/>
      <w:r w:rsidRPr="00A60E81">
        <w:rPr>
          <w:rFonts w:cstheme="minorHAnsi"/>
          <w:i/>
          <w:iCs/>
          <w:sz w:val="20"/>
          <w:szCs w:val="20"/>
        </w:rPr>
        <w:t>accountability</w:t>
      </w:r>
      <w:proofErr w:type="spellEnd"/>
      <w:r w:rsidRPr="00DA7B31">
        <w:rPr>
          <w:rFonts w:cstheme="minorHAnsi"/>
          <w:sz w:val="20"/>
          <w:szCs w:val="20"/>
        </w:rPr>
        <w:t xml:space="preserve"> » à travers l’application d’une grille d’analyse sur deux études de terrain en management public », </w:t>
      </w:r>
      <w:r w:rsidRPr="008B3D5C">
        <w:rPr>
          <w:rFonts w:cstheme="minorHAnsi"/>
          <w:i/>
          <w:iCs/>
          <w:sz w:val="20"/>
          <w:szCs w:val="20"/>
        </w:rPr>
        <w:t>Gestion et Management public</w:t>
      </w:r>
      <w:r w:rsidRPr="00DA7B31">
        <w:rPr>
          <w:rFonts w:cstheme="minorHAnsi"/>
          <w:sz w:val="20"/>
          <w:szCs w:val="20"/>
        </w:rPr>
        <w:t>, vol 4, n°1, p 45-58</w:t>
      </w:r>
    </w:p>
    <w:p w14:paraId="59A2CEA0"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Damarey</w:t>
      </w:r>
      <w:proofErr w:type="spellEnd"/>
      <w:r w:rsidRPr="00DA7B31">
        <w:rPr>
          <w:rFonts w:cstheme="minorHAnsi"/>
          <w:sz w:val="20"/>
          <w:szCs w:val="20"/>
        </w:rPr>
        <w:t xml:space="preserve"> S (2014) : « Le nouveau régime de responsabilité du comptable », </w:t>
      </w:r>
      <w:r w:rsidRPr="008B3D5C">
        <w:rPr>
          <w:rFonts w:cstheme="minorHAnsi"/>
          <w:i/>
          <w:iCs/>
          <w:sz w:val="20"/>
          <w:szCs w:val="20"/>
        </w:rPr>
        <w:t>L’actualité juridique de droit administratif, AJDA,</w:t>
      </w:r>
      <w:r w:rsidRPr="00DA7B31">
        <w:rPr>
          <w:rFonts w:cstheme="minorHAnsi"/>
          <w:sz w:val="20"/>
          <w:szCs w:val="20"/>
        </w:rPr>
        <w:t xml:space="preserve"> n°42, décembre, p 2405-2412 </w:t>
      </w:r>
    </w:p>
    <w:p w14:paraId="55DDC670"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Damarey</w:t>
      </w:r>
      <w:proofErr w:type="spellEnd"/>
      <w:r w:rsidRPr="00DA7B31">
        <w:rPr>
          <w:rFonts w:cstheme="minorHAnsi"/>
          <w:sz w:val="20"/>
          <w:szCs w:val="20"/>
        </w:rPr>
        <w:t xml:space="preserve"> S (2019) : « Le devenir du principe de séparation des ordonnateurs et des comptables », </w:t>
      </w:r>
      <w:r w:rsidRPr="008B3D5C">
        <w:rPr>
          <w:rFonts w:cstheme="minorHAnsi"/>
          <w:i/>
          <w:iCs/>
          <w:sz w:val="20"/>
          <w:szCs w:val="20"/>
        </w:rPr>
        <w:t>Gestion et Finances Publiques</w:t>
      </w:r>
      <w:r w:rsidRPr="00DA7B31">
        <w:rPr>
          <w:rFonts w:cstheme="minorHAnsi"/>
          <w:sz w:val="20"/>
          <w:szCs w:val="20"/>
        </w:rPr>
        <w:t>, n°5, p 76-82</w:t>
      </w:r>
    </w:p>
    <w:p w14:paraId="38128942"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Davis et </w:t>
      </w:r>
      <w:r w:rsidRPr="00DA7B31">
        <w:rPr>
          <w:rFonts w:cstheme="minorHAnsi"/>
          <w:i/>
          <w:sz w:val="20"/>
          <w:szCs w:val="20"/>
        </w:rPr>
        <w:t>al.</w:t>
      </w:r>
      <w:r w:rsidRPr="00DA7B31">
        <w:rPr>
          <w:rFonts w:cstheme="minorHAnsi"/>
          <w:sz w:val="20"/>
          <w:szCs w:val="20"/>
        </w:rPr>
        <w:t xml:space="preserve"> (1997a) : « </w:t>
      </w:r>
      <w:proofErr w:type="spellStart"/>
      <w:r w:rsidRPr="00DA7B31">
        <w:rPr>
          <w:rFonts w:cstheme="minorHAnsi"/>
          <w:sz w:val="20"/>
          <w:szCs w:val="20"/>
        </w:rPr>
        <w:t>Toward</w:t>
      </w:r>
      <w:proofErr w:type="spellEnd"/>
      <w:r w:rsidRPr="00DA7B31">
        <w:rPr>
          <w:rFonts w:cstheme="minorHAnsi"/>
          <w:sz w:val="20"/>
          <w:szCs w:val="20"/>
        </w:rPr>
        <w:t xml:space="preserve"> a </w:t>
      </w:r>
      <w:proofErr w:type="spellStart"/>
      <w:r w:rsidRPr="00DA7B31">
        <w:rPr>
          <w:rFonts w:cstheme="minorHAnsi"/>
          <w:sz w:val="20"/>
          <w:szCs w:val="20"/>
        </w:rPr>
        <w:t>stewardship</w:t>
      </w:r>
      <w:proofErr w:type="spellEnd"/>
      <w:r w:rsidRPr="00DA7B31">
        <w:rPr>
          <w:rFonts w:cstheme="minorHAnsi"/>
          <w:sz w:val="20"/>
          <w:szCs w:val="20"/>
        </w:rPr>
        <w:t xml:space="preserve"> </w:t>
      </w:r>
      <w:proofErr w:type="spellStart"/>
      <w:r w:rsidRPr="00DA7B31">
        <w:rPr>
          <w:rFonts w:cstheme="minorHAnsi"/>
          <w:sz w:val="20"/>
          <w:szCs w:val="20"/>
        </w:rPr>
        <w:t>theory</w:t>
      </w:r>
      <w:proofErr w:type="spellEnd"/>
      <w:r w:rsidRPr="00DA7B31">
        <w:rPr>
          <w:rFonts w:cstheme="minorHAnsi"/>
          <w:sz w:val="20"/>
          <w:szCs w:val="20"/>
        </w:rPr>
        <w:t xml:space="preserve"> of management », </w:t>
      </w:r>
      <w:proofErr w:type="spellStart"/>
      <w:r w:rsidRPr="008B3D5C">
        <w:rPr>
          <w:rFonts w:cstheme="minorHAnsi"/>
          <w:i/>
          <w:iCs/>
          <w:sz w:val="20"/>
          <w:szCs w:val="20"/>
        </w:rPr>
        <w:t>Academy</w:t>
      </w:r>
      <w:proofErr w:type="spellEnd"/>
      <w:r w:rsidRPr="008B3D5C">
        <w:rPr>
          <w:rFonts w:cstheme="minorHAnsi"/>
          <w:i/>
          <w:iCs/>
          <w:sz w:val="20"/>
          <w:szCs w:val="20"/>
        </w:rPr>
        <w:t xml:space="preserve"> of Management </w:t>
      </w:r>
      <w:proofErr w:type="spellStart"/>
      <w:r w:rsidRPr="008B3D5C">
        <w:rPr>
          <w:rFonts w:cstheme="minorHAnsi"/>
          <w:i/>
          <w:iCs/>
          <w:sz w:val="20"/>
          <w:szCs w:val="20"/>
        </w:rPr>
        <w:t>Review</w:t>
      </w:r>
      <w:proofErr w:type="spellEnd"/>
      <w:r w:rsidRPr="00DA7B31">
        <w:rPr>
          <w:rFonts w:cstheme="minorHAnsi"/>
          <w:sz w:val="20"/>
          <w:szCs w:val="20"/>
        </w:rPr>
        <w:t>, vol 22, n°1, p 20-47</w:t>
      </w:r>
    </w:p>
    <w:p w14:paraId="3A288943"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Davis et </w:t>
      </w:r>
      <w:r w:rsidRPr="00DA7B31">
        <w:rPr>
          <w:rFonts w:cstheme="minorHAnsi"/>
          <w:i/>
          <w:sz w:val="20"/>
          <w:szCs w:val="20"/>
        </w:rPr>
        <w:t>al.</w:t>
      </w:r>
      <w:r w:rsidRPr="00DA7B31">
        <w:rPr>
          <w:rFonts w:cstheme="minorHAnsi"/>
          <w:sz w:val="20"/>
          <w:szCs w:val="20"/>
        </w:rPr>
        <w:t xml:space="preserve"> (1997b) : « The </w:t>
      </w:r>
      <w:proofErr w:type="spellStart"/>
      <w:r w:rsidRPr="00DA7B31">
        <w:rPr>
          <w:rFonts w:cstheme="minorHAnsi"/>
          <w:sz w:val="20"/>
          <w:szCs w:val="20"/>
        </w:rPr>
        <w:t>distinctiveness</w:t>
      </w:r>
      <w:proofErr w:type="spellEnd"/>
      <w:r w:rsidRPr="00DA7B31">
        <w:rPr>
          <w:rFonts w:cstheme="minorHAnsi"/>
          <w:sz w:val="20"/>
          <w:szCs w:val="20"/>
        </w:rPr>
        <w:t xml:space="preserve"> of Agency Theory and </w:t>
      </w:r>
      <w:proofErr w:type="spellStart"/>
      <w:r w:rsidRPr="00DA7B31">
        <w:rPr>
          <w:rFonts w:cstheme="minorHAnsi"/>
          <w:sz w:val="20"/>
          <w:szCs w:val="20"/>
        </w:rPr>
        <w:t>Stewarship</w:t>
      </w:r>
      <w:proofErr w:type="spellEnd"/>
      <w:r w:rsidRPr="00DA7B31">
        <w:rPr>
          <w:rFonts w:cstheme="minorHAnsi"/>
          <w:sz w:val="20"/>
          <w:szCs w:val="20"/>
        </w:rPr>
        <w:t xml:space="preserve"> Theory », </w:t>
      </w:r>
      <w:r w:rsidRPr="008B3D5C">
        <w:rPr>
          <w:rFonts w:cstheme="minorHAnsi"/>
          <w:i/>
          <w:iCs/>
          <w:sz w:val="20"/>
          <w:szCs w:val="20"/>
        </w:rPr>
        <w:t xml:space="preserve">Academic of Management </w:t>
      </w:r>
      <w:proofErr w:type="spellStart"/>
      <w:r w:rsidRPr="008B3D5C">
        <w:rPr>
          <w:rFonts w:cstheme="minorHAnsi"/>
          <w:i/>
          <w:iCs/>
          <w:sz w:val="20"/>
          <w:szCs w:val="20"/>
        </w:rPr>
        <w:t>Review</w:t>
      </w:r>
      <w:proofErr w:type="spellEnd"/>
      <w:r w:rsidRPr="00DA7B31">
        <w:rPr>
          <w:rFonts w:cstheme="minorHAnsi"/>
          <w:sz w:val="20"/>
          <w:szCs w:val="20"/>
        </w:rPr>
        <w:t>, vol 22, n°3, p 609-613</w:t>
      </w:r>
    </w:p>
    <w:p w14:paraId="4026927A" w14:textId="77777777" w:rsidR="00AC6BC0" w:rsidRPr="00DA7B31" w:rsidRDefault="00AC6BC0" w:rsidP="00932E08">
      <w:pPr>
        <w:suppressAutoHyphens/>
        <w:jc w:val="both"/>
        <w:rPr>
          <w:rFonts w:cstheme="minorHAnsi"/>
          <w:sz w:val="20"/>
          <w:szCs w:val="20"/>
        </w:rPr>
      </w:pPr>
      <w:r w:rsidRPr="00DA7B31">
        <w:rPr>
          <w:rFonts w:cstheme="minorHAnsi"/>
          <w:sz w:val="20"/>
          <w:szCs w:val="20"/>
        </w:rPr>
        <w:t>Delon-</w:t>
      </w:r>
      <w:proofErr w:type="spellStart"/>
      <w:r w:rsidRPr="00DA7B31">
        <w:rPr>
          <w:rFonts w:cstheme="minorHAnsi"/>
          <w:sz w:val="20"/>
          <w:szCs w:val="20"/>
        </w:rPr>
        <w:t>Desmoulin</w:t>
      </w:r>
      <w:proofErr w:type="spellEnd"/>
      <w:r w:rsidRPr="00DA7B31">
        <w:rPr>
          <w:rFonts w:cstheme="minorHAnsi"/>
          <w:sz w:val="20"/>
          <w:szCs w:val="20"/>
        </w:rPr>
        <w:t xml:space="preserve"> C (2019) : « Le citoyen, un contrôleur de la décision financière locale ? », </w:t>
      </w:r>
      <w:r w:rsidRPr="008B3D5C">
        <w:rPr>
          <w:rFonts w:cstheme="minorHAnsi"/>
          <w:i/>
          <w:iCs/>
          <w:sz w:val="20"/>
          <w:szCs w:val="20"/>
        </w:rPr>
        <w:t>Revue Française de Finances Publique</w:t>
      </w:r>
      <w:r w:rsidRPr="00DA7B31">
        <w:rPr>
          <w:rFonts w:cstheme="minorHAnsi"/>
          <w:sz w:val="20"/>
          <w:szCs w:val="20"/>
        </w:rPr>
        <w:t>s, n°148, novembre, p 67-78</w:t>
      </w:r>
    </w:p>
    <w:p w14:paraId="22CE2292"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Dixit A (1997) : « Power of </w:t>
      </w:r>
      <w:proofErr w:type="spellStart"/>
      <w:r w:rsidRPr="00DA7B31">
        <w:rPr>
          <w:rFonts w:cstheme="minorHAnsi"/>
          <w:sz w:val="20"/>
          <w:szCs w:val="20"/>
        </w:rPr>
        <w:t>Incentives</w:t>
      </w:r>
      <w:proofErr w:type="spellEnd"/>
      <w:r w:rsidRPr="00DA7B31">
        <w:rPr>
          <w:rFonts w:cstheme="minorHAnsi"/>
          <w:sz w:val="20"/>
          <w:szCs w:val="20"/>
        </w:rPr>
        <w:t xml:space="preserve"> in </w:t>
      </w:r>
      <w:proofErr w:type="spellStart"/>
      <w:r w:rsidRPr="00DA7B31">
        <w:rPr>
          <w:rFonts w:cstheme="minorHAnsi"/>
          <w:sz w:val="20"/>
          <w:szCs w:val="20"/>
        </w:rPr>
        <w:t>Private</w:t>
      </w:r>
      <w:proofErr w:type="spellEnd"/>
      <w:r w:rsidRPr="00DA7B31">
        <w:rPr>
          <w:rFonts w:cstheme="minorHAnsi"/>
          <w:sz w:val="20"/>
          <w:szCs w:val="20"/>
        </w:rPr>
        <w:t xml:space="preserve"> versus Public Organizations », </w:t>
      </w:r>
      <w:r w:rsidRPr="008B3D5C">
        <w:rPr>
          <w:rFonts w:cstheme="minorHAnsi"/>
          <w:i/>
          <w:iCs/>
          <w:sz w:val="20"/>
          <w:szCs w:val="20"/>
        </w:rPr>
        <w:t xml:space="preserve">American </w:t>
      </w:r>
      <w:proofErr w:type="spellStart"/>
      <w:r w:rsidRPr="008B3D5C">
        <w:rPr>
          <w:rFonts w:cstheme="minorHAnsi"/>
          <w:i/>
          <w:iCs/>
          <w:sz w:val="20"/>
          <w:szCs w:val="20"/>
        </w:rPr>
        <w:t>Economic</w:t>
      </w:r>
      <w:proofErr w:type="spellEnd"/>
      <w:r w:rsidRPr="008B3D5C">
        <w:rPr>
          <w:rFonts w:cstheme="minorHAnsi"/>
          <w:i/>
          <w:iCs/>
          <w:sz w:val="20"/>
          <w:szCs w:val="20"/>
        </w:rPr>
        <w:t xml:space="preserve"> </w:t>
      </w:r>
      <w:proofErr w:type="spellStart"/>
      <w:r w:rsidRPr="008B3D5C">
        <w:rPr>
          <w:rFonts w:cstheme="minorHAnsi"/>
          <w:i/>
          <w:iCs/>
          <w:sz w:val="20"/>
          <w:szCs w:val="20"/>
        </w:rPr>
        <w:t>Review</w:t>
      </w:r>
      <w:proofErr w:type="spellEnd"/>
      <w:r w:rsidRPr="00DA7B31">
        <w:rPr>
          <w:rFonts w:cstheme="minorHAnsi"/>
          <w:sz w:val="20"/>
          <w:szCs w:val="20"/>
        </w:rPr>
        <w:t>, vol 87, n°2, p378-382</w:t>
      </w:r>
    </w:p>
    <w:p w14:paraId="5911031E"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Donaldson L (1990) : « The </w:t>
      </w:r>
      <w:proofErr w:type="spellStart"/>
      <w:r w:rsidRPr="00DA7B31">
        <w:rPr>
          <w:rFonts w:cstheme="minorHAnsi"/>
          <w:sz w:val="20"/>
          <w:szCs w:val="20"/>
        </w:rPr>
        <w:t>Ethereal</w:t>
      </w:r>
      <w:proofErr w:type="spellEnd"/>
      <w:r w:rsidRPr="00DA7B31">
        <w:rPr>
          <w:rFonts w:cstheme="minorHAnsi"/>
          <w:sz w:val="20"/>
          <w:szCs w:val="20"/>
        </w:rPr>
        <w:t xml:space="preserve"> Hand : </w:t>
      </w:r>
      <w:proofErr w:type="spellStart"/>
      <w:r w:rsidRPr="00DA7B31">
        <w:rPr>
          <w:rFonts w:cstheme="minorHAnsi"/>
          <w:sz w:val="20"/>
          <w:szCs w:val="20"/>
        </w:rPr>
        <w:t>Organizational</w:t>
      </w:r>
      <w:proofErr w:type="spellEnd"/>
      <w:r w:rsidRPr="00DA7B31">
        <w:rPr>
          <w:rFonts w:cstheme="minorHAnsi"/>
          <w:sz w:val="20"/>
          <w:szCs w:val="20"/>
        </w:rPr>
        <w:t xml:space="preserve"> </w:t>
      </w:r>
      <w:proofErr w:type="spellStart"/>
      <w:r w:rsidRPr="00DA7B31">
        <w:rPr>
          <w:rFonts w:cstheme="minorHAnsi"/>
          <w:sz w:val="20"/>
          <w:szCs w:val="20"/>
        </w:rPr>
        <w:t>Economics</w:t>
      </w:r>
      <w:proofErr w:type="spellEnd"/>
      <w:r w:rsidRPr="00DA7B31">
        <w:rPr>
          <w:rFonts w:cstheme="minorHAnsi"/>
          <w:sz w:val="20"/>
          <w:szCs w:val="20"/>
        </w:rPr>
        <w:t xml:space="preserve"> and Management Theory », </w:t>
      </w:r>
      <w:proofErr w:type="spellStart"/>
      <w:r w:rsidRPr="008B3D5C">
        <w:rPr>
          <w:rFonts w:cstheme="minorHAnsi"/>
          <w:i/>
          <w:iCs/>
          <w:sz w:val="20"/>
          <w:szCs w:val="20"/>
        </w:rPr>
        <w:t>Academy</w:t>
      </w:r>
      <w:proofErr w:type="spellEnd"/>
      <w:r w:rsidRPr="008B3D5C">
        <w:rPr>
          <w:rFonts w:cstheme="minorHAnsi"/>
          <w:i/>
          <w:iCs/>
          <w:sz w:val="20"/>
          <w:szCs w:val="20"/>
        </w:rPr>
        <w:t xml:space="preserve"> of Management </w:t>
      </w:r>
      <w:proofErr w:type="spellStart"/>
      <w:r w:rsidRPr="008B3D5C">
        <w:rPr>
          <w:rFonts w:cstheme="minorHAnsi"/>
          <w:i/>
          <w:iCs/>
          <w:sz w:val="20"/>
          <w:szCs w:val="20"/>
        </w:rPr>
        <w:t>Review</w:t>
      </w:r>
      <w:proofErr w:type="spellEnd"/>
      <w:r w:rsidRPr="00DA7B31">
        <w:rPr>
          <w:rFonts w:cstheme="minorHAnsi"/>
          <w:sz w:val="20"/>
          <w:szCs w:val="20"/>
        </w:rPr>
        <w:t>, vol 15, n°3, p 369-381</w:t>
      </w:r>
    </w:p>
    <w:p w14:paraId="7CB18C0F"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Donaldson L et Preston L.E (1995) : « The stakeholder </w:t>
      </w:r>
      <w:proofErr w:type="spellStart"/>
      <w:r w:rsidRPr="00DA7B31">
        <w:rPr>
          <w:rFonts w:cstheme="minorHAnsi"/>
          <w:sz w:val="20"/>
          <w:szCs w:val="20"/>
        </w:rPr>
        <w:t>theory</w:t>
      </w:r>
      <w:proofErr w:type="spellEnd"/>
      <w:r w:rsidRPr="00DA7B31">
        <w:rPr>
          <w:rFonts w:cstheme="minorHAnsi"/>
          <w:sz w:val="20"/>
          <w:szCs w:val="20"/>
        </w:rPr>
        <w:t xml:space="preserve"> of the corporation : concepts, </w:t>
      </w:r>
      <w:proofErr w:type="spellStart"/>
      <w:r w:rsidRPr="00DA7B31">
        <w:rPr>
          <w:rFonts w:cstheme="minorHAnsi"/>
          <w:sz w:val="20"/>
          <w:szCs w:val="20"/>
        </w:rPr>
        <w:t>evidence</w:t>
      </w:r>
      <w:proofErr w:type="spellEnd"/>
      <w:r w:rsidRPr="00DA7B31">
        <w:rPr>
          <w:rFonts w:cstheme="minorHAnsi"/>
          <w:sz w:val="20"/>
          <w:szCs w:val="20"/>
        </w:rPr>
        <w:t xml:space="preserve"> and implications », </w:t>
      </w:r>
      <w:proofErr w:type="spellStart"/>
      <w:r w:rsidRPr="008B3D5C">
        <w:rPr>
          <w:rFonts w:cstheme="minorHAnsi"/>
          <w:i/>
          <w:iCs/>
          <w:sz w:val="20"/>
          <w:szCs w:val="20"/>
        </w:rPr>
        <w:t>Academy</w:t>
      </w:r>
      <w:proofErr w:type="spellEnd"/>
      <w:r w:rsidRPr="008B3D5C">
        <w:rPr>
          <w:rFonts w:cstheme="minorHAnsi"/>
          <w:i/>
          <w:iCs/>
          <w:sz w:val="20"/>
          <w:szCs w:val="20"/>
        </w:rPr>
        <w:t xml:space="preserve"> of Management </w:t>
      </w:r>
      <w:proofErr w:type="spellStart"/>
      <w:r w:rsidRPr="008B3D5C">
        <w:rPr>
          <w:rFonts w:cstheme="minorHAnsi"/>
          <w:i/>
          <w:iCs/>
          <w:sz w:val="20"/>
          <w:szCs w:val="20"/>
        </w:rPr>
        <w:t>Review</w:t>
      </w:r>
      <w:proofErr w:type="spellEnd"/>
      <w:r w:rsidRPr="00DA7B31">
        <w:rPr>
          <w:rFonts w:cstheme="minorHAnsi"/>
          <w:sz w:val="20"/>
          <w:szCs w:val="20"/>
        </w:rPr>
        <w:t>, vol 20, n°1, p 65-91</w:t>
      </w:r>
    </w:p>
    <w:p w14:paraId="42570672"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Doucouliagos</w:t>
      </w:r>
      <w:proofErr w:type="spellEnd"/>
      <w:r w:rsidRPr="00DA7B31">
        <w:rPr>
          <w:rFonts w:cstheme="minorHAnsi"/>
          <w:sz w:val="20"/>
          <w:szCs w:val="20"/>
        </w:rPr>
        <w:t xml:space="preserve"> C (1994) : « A note of the </w:t>
      </w:r>
      <w:proofErr w:type="spellStart"/>
      <w:r w:rsidRPr="00DA7B31">
        <w:rPr>
          <w:rFonts w:cstheme="minorHAnsi"/>
          <w:sz w:val="20"/>
          <w:szCs w:val="20"/>
        </w:rPr>
        <w:t>evolution</w:t>
      </w:r>
      <w:proofErr w:type="spellEnd"/>
      <w:r w:rsidRPr="00DA7B31">
        <w:rPr>
          <w:rFonts w:cstheme="minorHAnsi"/>
          <w:sz w:val="20"/>
          <w:szCs w:val="20"/>
        </w:rPr>
        <w:t xml:space="preserve"> of homo economicus », </w:t>
      </w:r>
      <w:r w:rsidRPr="008B3D5C">
        <w:rPr>
          <w:rFonts w:cstheme="minorHAnsi"/>
          <w:i/>
          <w:iCs/>
          <w:sz w:val="20"/>
          <w:szCs w:val="20"/>
        </w:rPr>
        <w:t xml:space="preserve">Journal of </w:t>
      </w:r>
      <w:proofErr w:type="spellStart"/>
      <w:r w:rsidRPr="008B3D5C">
        <w:rPr>
          <w:rFonts w:cstheme="minorHAnsi"/>
          <w:i/>
          <w:iCs/>
          <w:sz w:val="20"/>
          <w:szCs w:val="20"/>
        </w:rPr>
        <w:t>Economics</w:t>
      </w:r>
      <w:proofErr w:type="spellEnd"/>
      <w:r w:rsidRPr="008B3D5C">
        <w:rPr>
          <w:rFonts w:cstheme="minorHAnsi"/>
          <w:i/>
          <w:iCs/>
          <w:sz w:val="20"/>
          <w:szCs w:val="20"/>
        </w:rPr>
        <w:t xml:space="preserve"> Issues</w:t>
      </w:r>
      <w:r w:rsidRPr="00DA7B31">
        <w:rPr>
          <w:rFonts w:cstheme="minorHAnsi"/>
          <w:sz w:val="20"/>
          <w:szCs w:val="20"/>
        </w:rPr>
        <w:t>, n°3, p 877-883</w:t>
      </w:r>
    </w:p>
    <w:p w14:paraId="1F9F2BF1" w14:textId="77777777" w:rsidR="00AC6BC0" w:rsidRPr="00DA7B31" w:rsidRDefault="00AC6BC0" w:rsidP="00932E08">
      <w:pPr>
        <w:suppressAutoHyphens/>
        <w:jc w:val="both"/>
        <w:rPr>
          <w:rFonts w:cstheme="minorHAnsi"/>
          <w:sz w:val="20"/>
          <w:szCs w:val="20"/>
        </w:rPr>
      </w:pPr>
      <w:r w:rsidRPr="00DA7B31">
        <w:rPr>
          <w:rFonts w:cstheme="minorHAnsi"/>
          <w:sz w:val="20"/>
          <w:szCs w:val="20"/>
        </w:rPr>
        <w:lastRenderedPageBreak/>
        <w:t xml:space="preserve">Dreyfus F (2016) : « Rendre des comptes : rendre compte : des notions ambigües », </w:t>
      </w:r>
      <w:r w:rsidRPr="008B3D5C">
        <w:rPr>
          <w:rFonts w:cstheme="minorHAnsi"/>
          <w:i/>
          <w:iCs/>
          <w:sz w:val="20"/>
          <w:szCs w:val="20"/>
        </w:rPr>
        <w:t>Revue Française d’Administration Publique</w:t>
      </w:r>
      <w:r w:rsidRPr="00DA7B31">
        <w:rPr>
          <w:rFonts w:cstheme="minorHAnsi"/>
          <w:sz w:val="20"/>
          <w:szCs w:val="20"/>
        </w:rPr>
        <w:t>, n°160, p 999-1010</w:t>
      </w:r>
    </w:p>
    <w:p w14:paraId="38657EF0" w14:textId="17007B48"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Dufresnoy</w:t>
      </w:r>
      <w:proofErr w:type="spellEnd"/>
      <w:r w:rsidRPr="00DA7B31">
        <w:rPr>
          <w:rFonts w:cstheme="minorHAnsi"/>
          <w:sz w:val="20"/>
          <w:szCs w:val="20"/>
        </w:rPr>
        <w:t xml:space="preserve"> G (2018) : « La responsabilité des comptables publics : une assurance raisonnable de régularité des comptes », </w:t>
      </w:r>
      <w:r w:rsidRPr="008B3D5C">
        <w:rPr>
          <w:rFonts w:cstheme="minorHAnsi"/>
          <w:i/>
          <w:iCs/>
          <w:sz w:val="20"/>
          <w:szCs w:val="20"/>
        </w:rPr>
        <w:t>Gestion et Finances Publiques</w:t>
      </w:r>
      <w:r w:rsidR="008B3D5C">
        <w:rPr>
          <w:rFonts w:cstheme="minorHAnsi"/>
          <w:i/>
          <w:iCs/>
          <w:sz w:val="20"/>
          <w:szCs w:val="20"/>
        </w:rPr>
        <w:t>,</w:t>
      </w:r>
      <w:r w:rsidRPr="00DA7B31">
        <w:rPr>
          <w:rFonts w:cstheme="minorHAnsi"/>
          <w:sz w:val="20"/>
          <w:szCs w:val="20"/>
        </w:rPr>
        <w:t xml:space="preserve"> n°2, mars-avril, p 102-104</w:t>
      </w:r>
    </w:p>
    <w:p w14:paraId="28C3947B" w14:textId="4D0B0565"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Facal</w:t>
      </w:r>
      <w:proofErr w:type="spellEnd"/>
      <w:r w:rsidRPr="00DA7B31">
        <w:rPr>
          <w:rFonts w:cstheme="minorHAnsi"/>
          <w:sz w:val="20"/>
          <w:szCs w:val="20"/>
        </w:rPr>
        <w:t xml:space="preserve"> J et </w:t>
      </w:r>
      <w:proofErr w:type="spellStart"/>
      <w:r w:rsidRPr="00DA7B31">
        <w:rPr>
          <w:rFonts w:cstheme="minorHAnsi"/>
          <w:sz w:val="20"/>
          <w:szCs w:val="20"/>
        </w:rPr>
        <w:t>Mazouz</w:t>
      </w:r>
      <w:proofErr w:type="spellEnd"/>
      <w:r w:rsidRPr="00DA7B31">
        <w:rPr>
          <w:rFonts w:cstheme="minorHAnsi"/>
          <w:sz w:val="20"/>
          <w:szCs w:val="20"/>
        </w:rPr>
        <w:t xml:space="preserve"> B (2013) : </w:t>
      </w:r>
      <w:r w:rsidR="00276E50">
        <w:rPr>
          <w:rFonts w:cstheme="minorHAnsi"/>
          <w:sz w:val="20"/>
          <w:szCs w:val="20"/>
        </w:rPr>
        <w:t>« </w:t>
      </w:r>
      <w:r w:rsidRPr="00DA7B31">
        <w:rPr>
          <w:rFonts w:cstheme="minorHAnsi"/>
          <w:sz w:val="20"/>
          <w:szCs w:val="20"/>
        </w:rPr>
        <w:t xml:space="preserve">L’imputabilité des dirigeants publics », </w:t>
      </w:r>
      <w:r w:rsidRPr="008B3D5C">
        <w:rPr>
          <w:rFonts w:cstheme="minorHAnsi"/>
          <w:i/>
          <w:iCs/>
          <w:sz w:val="20"/>
          <w:szCs w:val="20"/>
        </w:rPr>
        <w:t>Revue Française de Gestion</w:t>
      </w:r>
      <w:r w:rsidRPr="00DA7B31">
        <w:rPr>
          <w:rFonts w:cstheme="minorHAnsi"/>
          <w:sz w:val="20"/>
          <w:szCs w:val="20"/>
        </w:rPr>
        <w:t>, n° 237/8, p 117-132</w:t>
      </w:r>
    </w:p>
    <w:p w14:paraId="7223FD9C" w14:textId="77777777" w:rsidR="00AC6BC0" w:rsidRPr="00DA7B31" w:rsidRDefault="00AC6BC0" w:rsidP="00932E08">
      <w:pPr>
        <w:suppressAutoHyphens/>
        <w:jc w:val="both"/>
        <w:rPr>
          <w:rFonts w:cstheme="minorHAnsi"/>
          <w:sz w:val="20"/>
          <w:szCs w:val="20"/>
        </w:rPr>
      </w:pPr>
      <w:r w:rsidRPr="00DA7B31">
        <w:rPr>
          <w:rFonts w:cstheme="minorHAnsi"/>
          <w:sz w:val="20"/>
          <w:szCs w:val="20"/>
        </w:rPr>
        <w:t>Fama et Jensen 1983 (a) : « </w:t>
      </w:r>
      <w:proofErr w:type="spellStart"/>
      <w:r w:rsidRPr="00DA7B31">
        <w:rPr>
          <w:rFonts w:cstheme="minorHAnsi"/>
          <w:sz w:val="20"/>
          <w:szCs w:val="20"/>
        </w:rPr>
        <w:t>Separation</w:t>
      </w:r>
      <w:proofErr w:type="spellEnd"/>
      <w:r w:rsidRPr="00DA7B31">
        <w:rPr>
          <w:rFonts w:cstheme="minorHAnsi"/>
          <w:sz w:val="20"/>
          <w:szCs w:val="20"/>
        </w:rPr>
        <w:t xml:space="preserve"> of </w:t>
      </w:r>
      <w:proofErr w:type="spellStart"/>
      <w:r w:rsidRPr="00DA7B31">
        <w:rPr>
          <w:rFonts w:cstheme="minorHAnsi"/>
          <w:sz w:val="20"/>
          <w:szCs w:val="20"/>
        </w:rPr>
        <w:t>ownership</w:t>
      </w:r>
      <w:proofErr w:type="spellEnd"/>
      <w:r w:rsidRPr="00DA7B31">
        <w:rPr>
          <w:rFonts w:cstheme="minorHAnsi"/>
          <w:sz w:val="20"/>
          <w:szCs w:val="20"/>
        </w:rPr>
        <w:t xml:space="preserve"> and control », </w:t>
      </w:r>
      <w:r w:rsidRPr="008B3D5C">
        <w:rPr>
          <w:rFonts w:cstheme="minorHAnsi"/>
          <w:i/>
          <w:iCs/>
          <w:sz w:val="20"/>
          <w:szCs w:val="20"/>
        </w:rPr>
        <w:t xml:space="preserve">Journal of Law &amp; </w:t>
      </w:r>
      <w:proofErr w:type="spellStart"/>
      <w:r w:rsidRPr="008B3D5C">
        <w:rPr>
          <w:rFonts w:cstheme="minorHAnsi"/>
          <w:i/>
          <w:iCs/>
          <w:sz w:val="20"/>
          <w:szCs w:val="20"/>
        </w:rPr>
        <w:t>Economics</w:t>
      </w:r>
      <w:proofErr w:type="spellEnd"/>
      <w:r w:rsidRPr="008B3D5C">
        <w:rPr>
          <w:rFonts w:cstheme="minorHAnsi"/>
          <w:i/>
          <w:iCs/>
          <w:sz w:val="20"/>
          <w:szCs w:val="20"/>
        </w:rPr>
        <w:t>,</w:t>
      </w:r>
      <w:r w:rsidRPr="00DA7B31">
        <w:rPr>
          <w:rFonts w:cstheme="minorHAnsi"/>
          <w:sz w:val="20"/>
          <w:szCs w:val="20"/>
        </w:rPr>
        <w:t xml:space="preserve"> vol XXVI, juin, p 301-325</w:t>
      </w:r>
    </w:p>
    <w:p w14:paraId="69C53C16"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Fama et Jensen 1983 (b) : « Agency </w:t>
      </w:r>
      <w:proofErr w:type="spellStart"/>
      <w:r w:rsidRPr="00DA7B31">
        <w:rPr>
          <w:rFonts w:cstheme="minorHAnsi"/>
          <w:sz w:val="20"/>
          <w:szCs w:val="20"/>
        </w:rPr>
        <w:t>Problems</w:t>
      </w:r>
      <w:proofErr w:type="spellEnd"/>
      <w:r w:rsidRPr="00DA7B31">
        <w:rPr>
          <w:rFonts w:cstheme="minorHAnsi"/>
          <w:sz w:val="20"/>
          <w:szCs w:val="20"/>
        </w:rPr>
        <w:t xml:space="preserve"> and </w:t>
      </w:r>
      <w:proofErr w:type="spellStart"/>
      <w:r w:rsidRPr="00DA7B31">
        <w:rPr>
          <w:rFonts w:cstheme="minorHAnsi"/>
          <w:sz w:val="20"/>
          <w:szCs w:val="20"/>
        </w:rPr>
        <w:t>Residual</w:t>
      </w:r>
      <w:proofErr w:type="spellEnd"/>
      <w:r w:rsidRPr="00DA7B31">
        <w:rPr>
          <w:rFonts w:cstheme="minorHAnsi"/>
          <w:sz w:val="20"/>
          <w:szCs w:val="20"/>
        </w:rPr>
        <w:t xml:space="preserve"> claims », </w:t>
      </w:r>
      <w:r w:rsidRPr="008B3D5C">
        <w:rPr>
          <w:rFonts w:cstheme="minorHAnsi"/>
          <w:i/>
          <w:iCs/>
          <w:sz w:val="20"/>
          <w:szCs w:val="20"/>
        </w:rPr>
        <w:t xml:space="preserve">Journal of Law &amp; </w:t>
      </w:r>
      <w:proofErr w:type="spellStart"/>
      <w:r w:rsidRPr="008B3D5C">
        <w:rPr>
          <w:rFonts w:cstheme="minorHAnsi"/>
          <w:i/>
          <w:iCs/>
          <w:sz w:val="20"/>
          <w:szCs w:val="20"/>
        </w:rPr>
        <w:t>Economics</w:t>
      </w:r>
      <w:proofErr w:type="spellEnd"/>
      <w:r w:rsidRPr="00DA7B31">
        <w:rPr>
          <w:rFonts w:cstheme="minorHAnsi"/>
          <w:sz w:val="20"/>
          <w:szCs w:val="20"/>
        </w:rPr>
        <w:t>, vol XXVI, juin, p 327-349</w:t>
      </w:r>
    </w:p>
    <w:p w14:paraId="4E9EFFEB"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Gérard E (2018) : « Compte Financier Unique : qu’en attendre ? », </w:t>
      </w:r>
      <w:r w:rsidRPr="00FB4D99">
        <w:rPr>
          <w:rFonts w:cstheme="minorHAnsi"/>
          <w:i/>
          <w:iCs/>
          <w:sz w:val="20"/>
          <w:szCs w:val="20"/>
        </w:rPr>
        <w:t>Revue Française de Finances Publiques</w:t>
      </w:r>
      <w:r w:rsidRPr="00DA7B31">
        <w:rPr>
          <w:rFonts w:cstheme="minorHAnsi"/>
          <w:sz w:val="20"/>
          <w:szCs w:val="20"/>
        </w:rPr>
        <w:t>, n° 144, p 111-114</w:t>
      </w:r>
    </w:p>
    <w:p w14:paraId="44CCB1BD" w14:textId="3290D887" w:rsidR="00AC6BC0" w:rsidRPr="008E25F4" w:rsidRDefault="00AC6BC0" w:rsidP="00932E08">
      <w:pPr>
        <w:suppressAutoHyphens/>
        <w:jc w:val="both"/>
        <w:rPr>
          <w:rFonts w:cstheme="minorHAnsi"/>
        </w:rPr>
      </w:pPr>
      <w:proofErr w:type="spellStart"/>
      <w:r w:rsidRPr="00DA7B31">
        <w:rPr>
          <w:rFonts w:cstheme="minorHAnsi"/>
          <w:sz w:val="20"/>
          <w:szCs w:val="20"/>
        </w:rPr>
        <w:t>Girardi</w:t>
      </w:r>
      <w:proofErr w:type="spellEnd"/>
      <w:r w:rsidRPr="00DA7B31">
        <w:rPr>
          <w:rFonts w:cstheme="minorHAnsi"/>
          <w:sz w:val="20"/>
          <w:szCs w:val="20"/>
        </w:rPr>
        <w:t xml:space="preserve"> JL (2017) : » Les incertitudes nées de l’application de la réforme du régime de responsabilité personnelle et pécuniaire des comptables publics », </w:t>
      </w:r>
      <w:r w:rsidRPr="00276E50">
        <w:rPr>
          <w:rFonts w:cstheme="minorHAnsi"/>
          <w:i/>
          <w:iCs/>
          <w:sz w:val="20"/>
          <w:szCs w:val="20"/>
        </w:rPr>
        <w:t>Gestion et Finances Publiques</w:t>
      </w:r>
      <w:r w:rsidR="00FB4D99">
        <w:rPr>
          <w:rFonts w:cstheme="minorHAnsi"/>
          <w:sz w:val="20"/>
          <w:szCs w:val="20"/>
        </w:rPr>
        <w:t>,</w:t>
      </w:r>
      <w:r w:rsidRPr="00DA7B31">
        <w:rPr>
          <w:rFonts w:cstheme="minorHAnsi"/>
          <w:sz w:val="20"/>
          <w:szCs w:val="20"/>
        </w:rPr>
        <w:t xml:space="preserve"> n°2, mars-avril, p</w:t>
      </w:r>
      <w:r w:rsidRPr="008E25F4">
        <w:rPr>
          <w:rFonts w:cstheme="minorHAnsi"/>
        </w:rPr>
        <w:t xml:space="preserve"> 89-96</w:t>
      </w:r>
    </w:p>
    <w:p w14:paraId="7BCB718E" w14:textId="49C00545"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Haugen</w:t>
      </w:r>
      <w:proofErr w:type="spellEnd"/>
      <w:r w:rsidRPr="00DA7B31">
        <w:rPr>
          <w:rFonts w:cstheme="minorHAnsi"/>
          <w:sz w:val="20"/>
          <w:szCs w:val="20"/>
        </w:rPr>
        <w:t xml:space="preserve"> R.A et </w:t>
      </w:r>
      <w:proofErr w:type="spellStart"/>
      <w:r w:rsidRPr="00DA7B31">
        <w:rPr>
          <w:rFonts w:cstheme="minorHAnsi"/>
          <w:sz w:val="20"/>
          <w:szCs w:val="20"/>
        </w:rPr>
        <w:t>Senbet</w:t>
      </w:r>
      <w:proofErr w:type="spellEnd"/>
      <w:r w:rsidRPr="00DA7B31">
        <w:rPr>
          <w:rFonts w:cstheme="minorHAnsi"/>
          <w:sz w:val="20"/>
          <w:szCs w:val="20"/>
        </w:rPr>
        <w:t xml:space="preserve"> L.W (1981) : « </w:t>
      </w:r>
      <w:proofErr w:type="spellStart"/>
      <w:r w:rsidRPr="00DA7B31">
        <w:rPr>
          <w:rFonts w:cstheme="minorHAnsi"/>
          <w:sz w:val="20"/>
          <w:szCs w:val="20"/>
        </w:rPr>
        <w:t>Resolving</w:t>
      </w:r>
      <w:proofErr w:type="spellEnd"/>
      <w:r w:rsidRPr="00DA7B31">
        <w:rPr>
          <w:rFonts w:cstheme="minorHAnsi"/>
          <w:sz w:val="20"/>
          <w:szCs w:val="20"/>
        </w:rPr>
        <w:t xml:space="preserve"> the Agency </w:t>
      </w:r>
      <w:proofErr w:type="spellStart"/>
      <w:r w:rsidRPr="00DA7B31">
        <w:rPr>
          <w:rFonts w:cstheme="minorHAnsi"/>
          <w:sz w:val="20"/>
          <w:szCs w:val="20"/>
        </w:rPr>
        <w:t>Problems</w:t>
      </w:r>
      <w:proofErr w:type="spellEnd"/>
      <w:r w:rsidRPr="00DA7B31">
        <w:rPr>
          <w:rFonts w:cstheme="minorHAnsi"/>
          <w:sz w:val="20"/>
          <w:szCs w:val="20"/>
        </w:rPr>
        <w:t xml:space="preserve">, of </w:t>
      </w:r>
      <w:proofErr w:type="spellStart"/>
      <w:r w:rsidRPr="00DA7B31">
        <w:rPr>
          <w:rFonts w:cstheme="minorHAnsi"/>
          <w:sz w:val="20"/>
          <w:szCs w:val="20"/>
        </w:rPr>
        <w:t>Extern</w:t>
      </w:r>
      <w:proofErr w:type="spellEnd"/>
      <w:r w:rsidRPr="00DA7B31">
        <w:rPr>
          <w:rFonts w:cstheme="minorHAnsi"/>
          <w:sz w:val="20"/>
          <w:szCs w:val="20"/>
        </w:rPr>
        <w:t xml:space="preserve"> Capital </w:t>
      </w:r>
      <w:proofErr w:type="spellStart"/>
      <w:r w:rsidRPr="00DA7B31">
        <w:rPr>
          <w:rFonts w:cstheme="minorHAnsi"/>
          <w:sz w:val="20"/>
          <w:szCs w:val="20"/>
        </w:rPr>
        <w:t>through</w:t>
      </w:r>
      <w:proofErr w:type="spellEnd"/>
      <w:r w:rsidRPr="00DA7B31">
        <w:rPr>
          <w:rFonts w:cstheme="minorHAnsi"/>
          <w:sz w:val="20"/>
          <w:szCs w:val="20"/>
        </w:rPr>
        <w:t xml:space="preserve"> </w:t>
      </w:r>
      <w:proofErr w:type="spellStart"/>
      <w:r w:rsidRPr="00DA7B31">
        <w:rPr>
          <w:rFonts w:cstheme="minorHAnsi"/>
          <w:sz w:val="20"/>
          <w:szCs w:val="20"/>
        </w:rPr>
        <w:t>Stock Options</w:t>
      </w:r>
      <w:proofErr w:type="spellEnd"/>
      <w:r w:rsidRPr="00DA7B31">
        <w:rPr>
          <w:rFonts w:cstheme="minorHAnsi"/>
          <w:sz w:val="20"/>
          <w:szCs w:val="20"/>
        </w:rPr>
        <w:t xml:space="preserve"> » : </w:t>
      </w:r>
      <w:r w:rsidRPr="00FB4D99">
        <w:rPr>
          <w:rFonts w:cstheme="minorHAnsi"/>
          <w:i/>
          <w:iCs/>
          <w:sz w:val="20"/>
          <w:szCs w:val="20"/>
        </w:rPr>
        <w:t>Journal of Finance,</w:t>
      </w:r>
      <w:r w:rsidRPr="00DA7B31">
        <w:rPr>
          <w:rFonts w:cstheme="minorHAnsi"/>
          <w:sz w:val="20"/>
          <w:szCs w:val="20"/>
        </w:rPr>
        <w:t xml:space="preserve"> Vol. 36, n°3, p 629-647</w:t>
      </w:r>
    </w:p>
    <w:p w14:paraId="46D042E1" w14:textId="77777777" w:rsidR="00AC6BC0" w:rsidRPr="00DA7B31" w:rsidRDefault="00AC6BC0" w:rsidP="00932E08">
      <w:pPr>
        <w:suppressAutoHyphens/>
        <w:jc w:val="both"/>
        <w:rPr>
          <w:rFonts w:cstheme="minorHAnsi"/>
          <w:sz w:val="20"/>
          <w:szCs w:val="20"/>
        </w:rPr>
      </w:pPr>
      <w:r w:rsidRPr="00DA7B31">
        <w:rPr>
          <w:rFonts w:cstheme="minorHAnsi"/>
          <w:sz w:val="20"/>
          <w:szCs w:val="20"/>
        </w:rPr>
        <w:t>Hernandez M (2012) : « </w:t>
      </w:r>
      <w:proofErr w:type="spellStart"/>
      <w:r w:rsidRPr="00DA7B31">
        <w:rPr>
          <w:rFonts w:cstheme="minorHAnsi"/>
          <w:sz w:val="20"/>
          <w:szCs w:val="20"/>
        </w:rPr>
        <w:t>Toward</w:t>
      </w:r>
      <w:proofErr w:type="spellEnd"/>
      <w:r w:rsidRPr="00DA7B31">
        <w:rPr>
          <w:rFonts w:cstheme="minorHAnsi"/>
          <w:sz w:val="20"/>
          <w:szCs w:val="20"/>
        </w:rPr>
        <w:t xml:space="preserve"> an </w:t>
      </w:r>
      <w:proofErr w:type="spellStart"/>
      <w:r w:rsidRPr="00DA7B31">
        <w:rPr>
          <w:rFonts w:cstheme="minorHAnsi"/>
          <w:sz w:val="20"/>
          <w:szCs w:val="20"/>
        </w:rPr>
        <w:t>understanding</w:t>
      </w:r>
      <w:proofErr w:type="spellEnd"/>
      <w:r w:rsidRPr="00DA7B31">
        <w:rPr>
          <w:rFonts w:cstheme="minorHAnsi"/>
          <w:sz w:val="20"/>
          <w:szCs w:val="20"/>
        </w:rPr>
        <w:t xml:space="preserve"> of the </w:t>
      </w:r>
      <w:proofErr w:type="spellStart"/>
      <w:r w:rsidRPr="00DA7B31">
        <w:rPr>
          <w:rFonts w:cstheme="minorHAnsi"/>
          <w:sz w:val="20"/>
          <w:szCs w:val="20"/>
        </w:rPr>
        <w:t>psychology</w:t>
      </w:r>
      <w:proofErr w:type="spellEnd"/>
      <w:r w:rsidRPr="00DA7B31">
        <w:rPr>
          <w:rFonts w:cstheme="minorHAnsi"/>
          <w:sz w:val="20"/>
          <w:szCs w:val="20"/>
        </w:rPr>
        <w:t xml:space="preserve"> of </w:t>
      </w:r>
      <w:proofErr w:type="spellStart"/>
      <w:r w:rsidRPr="00DA7B31">
        <w:rPr>
          <w:rFonts w:cstheme="minorHAnsi"/>
          <w:sz w:val="20"/>
          <w:szCs w:val="20"/>
        </w:rPr>
        <w:t>stewardship</w:t>
      </w:r>
      <w:proofErr w:type="spellEnd"/>
      <w:r w:rsidRPr="00DA7B31">
        <w:rPr>
          <w:rFonts w:cstheme="minorHAnsi"/>
          <w:sz w:val="20"/>
          <w:szCs w:val="20"/>
        </w:rPr>
        <w:t xml:space="preserve"> », </w:t>
      </w:r>
      <w:proofErr w:type="spellStart"/>
      <w:r w:rsidRPr="00FB4D99">
        <w:rPr>
          <w:rFonts w:cstheme="minorHAnsi"/>
          <w:i/>
          <w:iCs/>
          <w:sz w:val="20"/>
          <w:szCs w:val="20"/>
        </w:rPr>
        <w:t>Academy</w:t>
      </w:r>
      <w:proofErr w:type="spellEnd"/>
      <w:r w:rsidRPr="00FB4D99">
        <w:rPr>
          <w:rFonts w:cstheme="minorHAnsi"/>
          <w:i/>
          <w:iCs/>
          <w:sz w:val="20"/>
          <w:szCs w:val="20"/>
        </w:rPr>
        <w:t xml:space="preserve"> of Management</w:t>
      </w:r>
      <w:r w:rsidRPr="00DA7B31">
        <w:rPr>
          <w:rFonts w:cstheme="minorHAnsi"/>
          <w:sz w:val="20"/>
          <w:szCs w:val="20"/>
        </w:rPr>
        <w:t xml:space="preserve"> </w:t>
      </w:r>
      <w:proofErr w:type="spellStart"/>
      <w:r w:rsidRPr="00FB4D99">
        <w:rPr>
          <w:rFonts w:cstheme="minorHAnsi"/>
          <w:i/>
          <w:iCs/>
          <w:sz w:val="20"/>
          <w:szCs w:val="20"/>
        </w:rPr>
        <w:t>Review</w:t>
      </w:r>
      <w:proofErr w:type="spellEnd"/>
      <w:r w:rsidRPr="00DA7B31">
        <w:rPr>
          <w:rFonts w:cstheme="minorHAnsi"/>
          <w:sz w:val="20"/>
          <w:szCs w:val="20"/>
        </w:rPr>
        <w:t>, vol 37, n°2, p 172-193</w:t>
      </w:r>
    </w:p>
    <w:p w14:paraId="3EA299F7" w14:textId="77777777" w:rsidR="00AC6BC0" w:rsidRPr="00DA7B31" w:rsidRDefault="00AC6BC0" w:rsidP="00932E08">
      <w:pPr>
        <w:suppressAutoHyphens/>
        <w:jc w:val="both"/>
        <w:rPr>
          <w:rFonts w:cstheme="minorHAnsi"/>
          <w:sz w:val="20"/>
          <w:szCs w:val="20"/>
        </w:rPr>
      </w:pPr>
      <w:r w:rsidRPr="00DA7B31">
        <w:rPr>
          <w:rFonts w:cstheme="minorHAnsi"/>
          <w:sz w:val="20"/>
          <w:szCs w:val="20"/>
        </w:rPr>
        <w:t>Hertzog R (2016) : « Rendre des comptes : de quoi parle-t-on ? Les quadratures du cercle démocratique </w:t>
      </w:r>
      <w:r w:rsidRPr="00FB4D99">
        <w:rPr>
          <w:rFonts w:cstheme="minorHAnsi"/>
          <w:i/>
          <w:iCs/>
          <w:sz w:val="20"/>
          <w:szCs w:val="20"/>
        </w:rPr>
        <w:t>», Revue Française d’Administration Publique</w:t>
      </w:r>
      <w:r w:rsidRPr="00DA7B31">
        <w:rPr>
          <w:rFonts w:cstheme="minorHAnsi"/>
          <w:sz w:val="20"/>
          <w:szCs w:val="20"/>
        </w:rPr>
        <w:t>, n°160, p 1011-1026</w:t>
      </w:r>
    </w:p>
    <w:p w14:paraId="7EF9659A"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Hill C.W.L et Jones T.M (1992) : « Stakeholder-Agency Theory », </w:t>
      </w:r>
      <w:r w:rsidRPr="00FB4D99">
        <w:rPr>
          <w:rFonts w:cstheme="minorHAnsi"/>
          <w:i/>
          <w:iCs/>
          <w:sz w:val="20"/>
          <w:szCs w:val="20"/>
        </w:rPr>
        <w:t xml:space="preserve">Journal of Management </w:t>
      </w:r>
      <w:proofErr w:type="spellStart"/>
      <w:r w:rsidRPr="00FB4D99">
        <w:rPr>
          <w:rFonts w:cstheme="minorHAnsi"/>
          <w:i/>
          <w:iCs/>
          <w:sz w:val="20"/>
          <w:szCs w:val="20"/>
        </w:rPr>
        <w:t>Studies</w:t>
      </w:r>
      <w:proofErr w:type="spellEnd"/>
      <w:r w:rsidRPr="00DA7B31">
        <w:rPr>
          <w:rFonts w:cstheme="minorHAnsi"/>
          <w:sz w:val="20"/>
          <w:szCs w:val="20"/>
        </w:rPr>
        <w:t>, 29,2, mars, p131-154</w:t>
      </w:r>
    </w:p>
    <w:p w14:paraId="40BBD316"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Jeannard</w:t>
      </w:r>
      <w:proofErr w:type="spellEnd"/>
      <w:r w:rsidRPr="00DA7B31">
        <w:rPr>
          <w:rFonts w:cstheme="minorHAnsi"/>
          <w:sz w:val="20"/>
          <w:szCs w:val="20"/>
        </w:rPr>
        <w:t xml:space="preserve"> S (2012) : « La comptabilité publique locale, quelles transformations ? quels enjeux ? », </w:t>
      </w:r>
      <w:r w:rsidRPr="00FB4D99">
        <w:rPr>
          <w:rFonts w:cstheme="minorHAnsi"/>
          <w:i/>
          <w:iCs/>
          <w:sz w:val="20"/>
          <w:szCs w:val="20"/>
        </w:rPr>
        <w:t>Revue Française de Finances Publiques</w:t>
      </w:r>
      <w:r w:rsidRPr="00DA7B31">
        <w:rPr>
          <w:rFonts w:cstheme="minorHAnsi"/>
          <w:sz w:val="20"/>
          <w:szCs w:val="20"/>
        </w:rPr>
        <w:t>, n°119, septembre, p103-110</w:t>
      </w:r>
    </w:p>
    <w:p w14:paraId="009DBC80" w14:textId="77777777" w:rsidR="00AC6BC0" w:rsidRPr="00DA7B31" w:rsidRDefault="00AC6BC0" w:rsidP="00932E08">
      <w:pPr>
        <w:suppressAutoHyphens/>
        <w:jc w:val="both"/>
        <w:rPr>
          <w:rFonts w:cstheme="minorHAnsi"/>
          <w:sz w:val="20"/>
          <w:szCs w:val="20"/>
          <w:lang w:val="en-GB"/>
        </w:rPr>
      </w:pPr>
      <w:r w:rsidRPr="00DA7B31">
        <w:rPr>
          <w:rFonts w:cstheme="minorHAnsi"/>
          <w:sz w:val="20"/>
          <w:szCs w:val="20"/>
        </w:rPr>
        <w:t xml:space="preserve">Jensen M.C et Meckling H (1976) : </w:t>
      </w:r>
      <w:r w:rsidRPr="00DA7B31">
        <w:rPr>
          <w:rFonts w:cstheme="minorHAnsi"/>
          <w:sz w:val="20"/>
          <w:szCs w:val="20"/>
          <w:lang w:val="en-GB"/>
        </w:rPr>
        <w:t xml:space="preserve">"Theory of the firm : managerial </w:t>
      </w:r>
      <w:proofErr w:type="spellStart"/>
      <w:r w:rsidRPr="00DA7B31">
        <w:rPr>
          <w:rFonts w:cstheme="minorHAnsi"/>
          <w:sz w:val="20"/>
          <w:szCs w:val="20"/>
          <w:lang w:val="en-GB"/>
        </w:rPr>
        <w:t>behavior</w:t>
      </w:r>
      <w:proofErr w:type="spellEnd"/>
      <w:r w:rsidRPr="00DA7B31">
        <w:rPr>
          <w:rFonts w:cstheme="minorHAnsi"/>
          <w:sz w:val="20"/>
          <w:szCs w:val="20"/>
          <w:lang w:val="en-GB"/>
        </w:rPr>
        <w:t xml:space="preserve">, agency costs and Ownership Structure", </w:t>
      </w:r>
      <w:r w:rsidRPr="00FB4D99">
        <w:rPr>
          <w:rFonts w:cstheme="minorHAnsi"/>
          <w:i/>
          <w:iCs/>
          <w:sz w:val="20"/>
          <w:szCs w:val="20"/>
          <w:lang w:val="en-GB"/>
        </w:rPr>
        <w:t>Journal of Financial Economics</w:t>
      </w:r>
      <w:r w:rsidRPr="00DA7B31">
        <w:rPr>
          <w:rFonts w:cstheme="minorHAnsi"/>
          <w:sz w:val="20"/>
          <w:szCs w:val="20"/>
          <w:lang w:val="en-GB"/>
        </w:rPr>
        <w:t xml:space="preserve">, vol 3, </w:t>
      </w:r>
      <w:proofErr w:type="spellStart"/>
      <w:r w:rsidRPr="00DA7B31">
        <w:rPr>
          <w:rFonts w:cstheme="minorHAnsi"/>
          <w:sz w:val="20"/>
          <w:szCs w:val="20"/>
          <w:lang w:val="en-GB"/>
        </w:rPr>
        <w:t>octobre</w:t>
      </w:r>
      <w:proofErr w:type="spellEnd"/>
      <w:r w:rsidRPr="00DA7B31">
        <w:rPr>
          <w:rFonts w:cstheme="minorHAnsi"/>
          <w:sz w:val="20"/>
          <w:szCs w:val="20"/>
          <w:lang w:val="en-GB"/>
        </w:rPr>
        <w:t>, p 305-360</w:t>
      </w:r>
    </w:p>
    <w:p w14:paraId="3E55353F"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Jensen M.C et Meckling H (1994) : « The nature of man », </w:t>
      </w:r>
      <w:r w:rsidRPr="00FB4D99">
        <w:rPr>
          <w:rFonts w:cstheme="minorHAnsi"/>
          <w:i/>
          <w:iCs/>
          <w:sz w:val="20"/>
          <w:szCs w:val="20"/>
        </w:rPr>
        <w:t xml:space="preserve">Journal of </w:t>
      </w:r>
      <w:proofErr w:type="spellStart"/>
      <w:r w:rsidRPr="00FB4D99">
        <w:rPr>
          <w:rFonts w:cstheme="minorHAnsi"/>
          <w:i/>
          <w:iCs/>
          <w:sz w:val="20"/>
          <w:szCs w:val="20"/>
        </w:rPr>
        <w:t>Applied</w:t>
      </w:r>
      <w:proofErr w:type="spellEnd"/>
      <w:r w:rsidRPr="00FB4D99">
        <w:rPr>
          <w:rFonts w:cstheme="minorHAnsi"/>
          <w:i/>
          <w:iCs/>
          <w:sz w:val="20"/>
          <w:szCs w:val="20"/>
        </w:rPr>
        <w:t xml:space="preserve"> </w:t>
      </w:r>
      <w:proofErr w:type="spellStart"/>
      <w:r w:rsidRPr="00FB4D99">
        <w:rPr>
          <w:rFonts w:cstheme="minorHAnsi"/>
          <w:i/>
          <w:iCs/>
          <w:sz w:val="20"/>
          <w:szCs w:val="20"/>
        </w:rPr>
        <w:t>Corporate</w:t>
      </w:r>
      <w:proofErr w:type="spellEnd"/>
      <w:r w:rsidRPr="00FB4D99">
        <w:rPr>
          <w:rFonts w:cstheme="minorHAnsi"/>
          <w:i/>
          <w:iCs/>
          <w:sz w:val="20"/>
          <w:szCs w:val="20"/>
        </w:rPr>
        <w:t xml:space="preserve"> Finance</w:t>
      </w:r>
      <w:r w:rsidRPr="00DA7B31">
        <w:rPr>
          <w:rFonts w:cstheme="minorHAnsi"/>
          <w:sz w:val="20"/>
          <w:szCs w:val="20"/>
        </w:rPr>
        <w:t>, vol 7, n°2, été, p 4-19</w:t>
      </w:r>
    </w:p>
    <w:p w14:paraId="65E874F2" w14:textId="77777777" w:rsidR="00AC6BC0" w:rsidRPr="00DA7B31" w:rsidRDefault="00AC6BC0" w:rsidP="00932E08">
      <w:pPr>
        <w:suppressAutoHyphens/>
        <w:jc w:val="both"/>
        <w:rPr>
          <w:rFonts w:cstheme="minorHAnsi"/>
          <w:sz w:val="20"/>
          <w:szCs w:val="20"/>
          <w:lang w:val="en-GB"/>
        </w:rPr>
      </w:pPr>
      <w:r w:rsidRPr="00DA7B31">
        <w:rPr>
          <w:rFonts w:cstheme="minorHAnsi"/>
          <w:sz w:val="20"/>
          <w:szCs w:val="20"/>
        </w:rPr>
        <w:t>Jensen M.C et Murphy K.J (1990) :</w:t>
      </w:r>
      <w:r w:rsidRPr="00DA7B31">
        <w:rPr>
          <w:rFonts w:cstheme="minorHAnsi"/>
          <w:sz w:val="20"/>
          <w:szCs w:val="20"/>
          <w:lang w:val="en-GB"/>
        </w:rPr>
        <w:t xml:space="preserve"> "CEO incentives, it's not how much you pay but how", </w:t>
      </w:r>
      <w:r w:rsidRPr="00FB4D99">
        <w:rPr>
          <w:rFonts w:cstheme="minorHAnsi"/>
          <w:i/>
          <w:iCs/>
          <w:sz w:val="20"/>
          <w:szCs w:val="20"/>
          <w:lang w:val="en-GB"/>
        </w:rPr>
        <w:t>Journal of applied corporate finance</w:t>
      </w:r>
      <w:r w:rsidRPr="00DA7B31">
        <w:rPr>
          <w:rFonts w:cstheme="minorHAnsi"/>
          <w:sz w:val="20"/>
          <w:szCs w:val="20"/>
          <w:lang w:val="en-GB"/>
        </w:rPr>
        <w:t>, vol 3, n°3, p 36-49</w:t>
      </w:r>
    </w:p>
    <w:p w14:paraId="21DB6306"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Kott</w:t>
      </w:r>
      <w:proofErr w:type="spellEnd"/>
      <w:r w:rsidRPr="00DA7B31">
        <w:rPr>
          <w:rFonts w:cstheme="minorHAnsi"/>
          <w:sz w:val="20"/>
          <w:szCs w:val="20"/>
        </w:rPr>
        <w:t xml:space="preserve"> S (2016) : « Comptabilité publique et reddition des comptes de l’Etat », </w:t>
      </w:r>
      <w:r w:rsidRPr="00FB4D99">
        <w:rPr>
          <w:rFonts w:cstheme="minorHAnsi"/>
          <w:i/>
          <w:iCs/>
          <w:sz w:val="20"/>
          <w:szCs w:val="20"/>
        </w:rPr>
        <w:t>Revue Française d’Administration</w:t>
      </w:r>
      <w:r w:rsidRPr="00DA7B31">
        <w:rPr>
          <w:rFonts w:cstheme="minorHAnsi"/>
          <w:sz w:val="20"/>
          <w:szCs w:val="20"/>
        </w:rPr>
        <w:t xml:space="preserve"> </w:t>
      </w:r>
      <w:r w:rsidRPr="00FB4D99">
        <w:rPr>
          <w:rFonts w:cstheme="minorHAnsi"/>
          <w:i/>
          <w:iCs/>
          <w:sz w:val="20"/>
          <w:szCs w:val="20"/>
        </w:rPr>
        <w:t>Publique</w:t>
      </w:r>
      <w:r w:rsidRPr="00DA7B31">
        <w:rPr>
          <w:rFonts w:cstheme="minorHAnsi"/>
          <w:sz w:val="20"/>
          <w:szCs w:val="20"/>
        </w:rPr>
        <w:t>, n°160, p 1065-1078</w:t>
      </w:r>
    </w:p>
    <w:p w14:paraId="7872A15C"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Lafarge F (2016) : « Rendre des comptes, rendre compte », </w:t>
      </w:r>
      <w:r w:rsidRPr="00FB4D99">
        <w:rPr>
          <w:rFonts w:cstheme="minorHAnsi"/>
          <w:i/>
          <w:iCs/>
          <w:sz w:val="20"/>
          <w:szCs w:val="20"/>
        </w:rPr>
        <w:t>Revue Française de Finances Publiques</w:t>
      </w:r>
      <w:r w:rsidRPr="00DA7B31">
        <w:rPr>
          <w:rFonts w:cstheme="minorHAnsi"/>
          <w:sz w:val="20"/>
          <w:szCs w:val="20"/>
        </w:rPr>
        <w:t>, n°160, p 985-997</w:t>
      </w:r>
    </w:p>
    <w:p w14:paraId="60A551DD" w14:textId="77777777" w:rsidR="00AC6BC0" w:rsidRPr="00DA7B31" w:rsidRDefault="00AC6BC0" w:rsidP="00932E08">
      <w:pPr>
        <w:suppressAutoHyphens/>
        <w:jc w:val="both"/>
        <w:rPr>
          <w:rFonts w:cstheme="minorHAnsi"/>
          <w:sz w:val="20"/>
          <w:szCs w:val="20"/>
        </w:rPr>
      </w:pPr>
      <w:r w:rsidRPr="00DA7B31">
        <w:rPr>
          <w:rFonts w:cstheme="minorHAnsi"/>
          <w:sz w:val="20"/>
          <w:szCs w:val="20"/>
        </w:rPr>
        <w:t>Lande E, Rocher S (2008) : « 25 ans de réformes comptables au service du management public », </w:t>
      </w:r>
      <w:r w:rsidRPr="00FB4D99">
        <w:rPr>
          <w:rStyle w:val="Accentuation"/>
          <w:rFonts w:cstheme="minorHAnsi"/>
          <w:sz w:val="20"/>
          <w:szCs w:val="20"/>
        </w:rPr>
        <w:t>Politiques et management public</w:t>
      </w:r>
      <w:r w:rsidRPr="00DA7B31">
        <w:rPr>
          <w:rFonts w:cstheme="minorHAnsi"/>
          <w:sz w:val="20"/>
          <w:szCs w:val="20"/>
        </w:rPr>
        <w:t>, Vol. 26, n°3, p 149-160.</w:t>
      </w:r>
    </w:p>
    <w:p w14:paraId="41426679"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Le </w:t>
      </w:r>
      <w:proofErr w:type="spellStart"/>
      <w:r w:rsidRPr="00DA7B31">
        <w:rPr>
          <w:rFonts w:cstheme="minorHAnsi"/>
          <w:sz w:val="20"/>
          <w:szCs w:val="20"/>
        </w:rPr>
        <w:t>Clainche</w:t>
      </w:r>
      <w:proofErr w:type="spellEnd"/>
      <w:r w:rsidRPr="00DA7B31">
        <w:rPr>
          <w:rFonts w:cstheme="minorHAnsi"/>
          <w:sz w:val="20"/>
          <w:szCs w:val="20"/>
        </w:rPr>
        <w:t xml:space="preserve"> M (2016) : « Redevabilité financière et redevabilité managériale : séparation, concurrence ou complémentarité ? », </w:t>
      </w:r>
      <w:r w:rsidRPr="00FB4D99">
        <w:rPr>
          <w:rFonts w:cstheme="minorHAnsi"/>
          <w:i/>
          <w:iCs/>
          <w:sz w:val="20"/>
          <w:szCs w:val="20"/>
        </w:rPr>
        <w:t>Revue Française d’Administration Publique</w:t>
      </w:r>
      <w:r w:rsidRPr="00DA7B31">
        <w:rPr>
          <w:rFonts w:cstheme="minorHAnsi"/>
          <w:sz w:val="20"/>
          <w:szCs w:val="20"/>
        </w:rPr>
        <w:t>, n°160, p 1093-1107</w:t>
      </w:r>
    </w:p>
    <w:p w14:paraId="2B620BF8" w14:textId="77777777" w:rsidR="00AC6BC0" w:rsidRPr="00DA7B31" w:rsidRDefault="00AC6BC0" w:rsidP="00932E08">
      <w:pPr>
        <w:suppressAutoHyphens/>
        <w:jc w:val="both"/>
        <w:rPr>
          <w:rFonts w:cstheme="minorHAnsi"/>
          <w:sz w:val="20"/>
          <w:szCs w:val="20"/>
          <w:lang w:val="en-GB"/>
        </w:rPr>
      </w:pPr>
      <w:r w:rsidRPr="00DA7B31">
        <w:rPr>
          <w:rFonts w:cstheme="minorHAnsi"/>
          <w:sz w:val="20"/>
          <w:szCs w:val="20"/>
        </w:rPr>
        <w:t>Leland H.E et Pyle D.H (1977) :</w:t>
      </w:r>
      <w:r w:rsidRPr="00DA7B31">
        <w:rPr>
          <w:rFonts w:cstheme="minorHAnsi"/>
          <w:sz w:val="20"/>
          <w:szCs w:val="20"/>
          <w:lang w:val="en-GB"/>
        </w:rPr>
        <w:t xml:space="preserve"> "Informational </w:t>
      </w:r>
      <w:proofErr w:type="spellStart"/>
      <w:r w:rsidRPr="00DA7B31">
        <w:rPr>
          <w:rFonts w:cstheme="minorHAnsi"/>
          <w:sz w:val="20"/>
          <w:szCs w:val="20"/>
          <w:lang w:val="en-GB"/>
        </w:rPr>
        <w:t>asymetries</w:t>
      </w:r>
      <w:proofErr w:type="spellEnd"/>
      <w:r w:rsidRPr="00DA7B31">
        <w:rPr>
          <w:rFonts w:cstheme="minorHAnsi"/>
          <w:sz w:val="20"/>
          <w:szCs w:val="20"/>
          <w:lang w:val="en-GB"/>
        </w:rPr>
        <w:t xml:space="preserve">, financial structure, and financial </w:t>
      </w:r>
      <w:proofErr w:type="spellStart"/>
      <w:r w:rsidRPr="00DA7B31">
        <w:rPr>
          <w:rFonts w:cstheme="minorHAnsi"/>
          <w:sz w:val="20"/>
          <w:szCs w:val="20"/>
          <w:lang w:val="en-GB"/>
        </w:rPr>
        <w:t>intermédiation</w:t>
      </w:r>
      <w:proofErr w:type="spellEnd"/>
      <w:r w:rsidRPr="00DA7B31">
        <w:rPr>
          <w:rFonts w:cstheme="minorHAnsi"/>
          <w:sz w:val="20"/>
          <w:szCs w:val="20"/>
          <w:lang w:val="en-GB"/>
        </w:rPr>
        <w:t xml:space="preserve">", The </w:t>
      </w:r>
      <w:r w:rsidRPr="00FB4D99">
        <w:rPr>
          <w:rFonts w:cstheme="minorHAnsi"/>
          <w:i/>
          <w:iCs/>
          <w:sz w:val="20"/>
          <w:szCs w:val="20"/>
          <w:lang w:val="en-GB"/>
        </w:rPr>
        <w:t>Journal of Finance</w:t>
      </w:r>
      <w:r w:rsidRPr="00DA7B31">
        <w:rPr>
          <w:rFonts w:cstheme="minorHAnsi"/>
          <w:sz w:val="20"/>
          <w:szCs w:val="20"/>
          <w:lang w:val="en-GB"/>
        </w:rPr>
        <w:t xml:space="preserve">, vol 32, n°2, </w:t>
      </w:r>
      <w:proofErr w:type="spellStart"/>
      <w:r w:rsidRPr="00DA7B31">
        <w:rPr>
          <w:rFonts w:cstheme="minorHAnsi"/>
          <w:sz w:val="20"/>
          <w:szCs w:val="20"/>
          <w:lang w:val="en-GB"/>
        </w:rPr>
        <w:t>mai</w:t>
      </w:r>
      <w:proofErr w:type="spellEnd"/>
      <w:r w:rsidRPr="00DA7B31">
        <w:rPr>
          <w:rFonts w:cstheme="minorHAnsi"/>
          <w:sz w:val="20"/>
          <w:szCs w:val="20"/>
          <w:lang w:val="en-GB"/>
        </w:rPr>
        <w:t>, p 371-387</w:t>
      </w:r>
    </w:p>
    <w:p w14:paraId="6B720507"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Mael F et </w:t>
      </w:r>
      <w:proofErr w:type="spellStart"/>
      <w:r w:rsidRPr="00DA7B31">
        <w:rPr>
          <w:rFonts w:cstheme="minorHAnsi"/>
          <w:sz w:val="20"/>
          <w:szCs w:val="20"/>
        </w:rPr>
        <w:t>Ashforth</w:t>
      </w:r>
      <w:proofErr w:type="spellEnd"/>
      <w:r w:rsidRPr="00DA7B31">
        <w:rPr>
          <w:rFonts w:cstheme="minorHAnsi"/>
          <w:sz w:val="20"/>
          <w:szCs w:val="20"/>
        </w:rPr>
        <w:t xml:space="preserve"> B.E (1992) : « Alumni and </w:t>
      </w:r>
      <w:proofErr w:type="spellStart"/>
      <w:r w:rsidRPr="00DA7B31">
        <w:rPr>
          <w:rFonts w:cstheme="minorHAnsi"/>
          <w:sz w:val="20"/>
          <w:szCs w:val="20"/>
        </w:rPr>
        <w:t>their</w:t>
      </w:r>
      <w:proofErr w:type="spellEnd"/>
      <w:r w:rsidRPr="00DA7B31">
        <w:rPr>
          <w:rFonts w:cstheme="minorHAnsi"/>
          <w:sz w:val="20"/>
          <w:szCs w:val="20"/>
        </w:rPr>
        <w:t xml:space="preserve"> alma mater : a partial test of the </w:t>
      </w:r>
      <w:proofErr w:type="spellStart"/>
      <w:r w:rsidRPr="00DA7B31">
        <w:rPr>
          <w:rFonts w:cstheme="minorHAnsi"/>
          <w:sz w:val="20"/>
          <w:szCs w:val="20"/>
        </w:rPr>
        <w:t>reformulated</w:t>
      </w:r>
      <w:proofErr w:type="spellEnd"/>
      <w:r w:rsidRPr="00DA7B31">
        <w:rPr>
          <w:rFonts w:cstheme="minorHAnsi"/>
          <w:sz w:val="20"/>
          <w:szCs w:val="20"/>
        </w:rPr>
        <w:t xml:space="preserve"> model of </w:t>
      </w:r>
      <w:proofErr w:type="spellStart"/>
      <w:r w:rsidRPr="00DA7B31">
        <w:rPr>
          <w:rFonts w:cstheme="minorHAnsi"/>
          <w:sz w:val="20"/>
          <w:szCs w:val="20"/>
        </w:rPr>
        <w:t>organizational</w:t>
      </w:r>
      <w:proofErr w:type="spellEnd"/>
      <w:r w:rsidRPr="00DA7B31">
        <w:rPr>
          <w:rFonts w:cstheme="minorHAnsi"/>
          <w:sz w:val="20"/>
          <w:szCs w:val="20"/>
        </w:rPr>
        <w:t xml:space="preserve"> identification », </w:t>
      </w:r>
      <w:r w:rsidRPr="00FB4D99">
        <w:rPr>
          <w:rFonts w:cstheme="minorHAnsi"/>
          <w:i/>
          <w:iCs/>
          <w:sz w:val="20"/>
          <w:szCs w:val="20"/>
        </w:rPr>
        <w:t xml:space="preserve">Journal of </w:t>
      </w:r>
      <w:proofErr w:type="spellStart"/>
      <w:r w:rsidRPr="00FB4D99">
        <w:rPr>
          <w:rFonts w:cstheme="minorHAnsi"/>
          <w:i/>
          <w:iCs/>
          <w:sz w:val="20"/>
          <w:szCs w:val="20"/>
        </w:rPr>
        <w:t>Organizational</w:t>
      </w:r>
      <w:proofErr w:type="spellEnd"/>
      <w:r w:rsidRPr="00FB4D99">
        <w:rPr>
          <w:rFonts w:cstheme="minorHAnsi"/>
          <w:i/>
          <w:iCs/>
          <w:sz w:val="20"/>
          <w:szCs w:val="20"/>
        </w:rPr>
        <w:t xml:space="preserve"> </w:t>
      </w:r>
      <w:proofErr w:type="spellStart"/>
      <w:r w:rsidRPr="00FB4D99">
        <w:rPr>
          <w:rFonts w:cstheme="minorHAnsi"/>
          <w:i/>
          <w:iCs/>
          <w:sz w:val="20"/>
          <w:szCs w:val="20"/>
        </w:rPr>
        <w:t>Behavior</w:t>
      </w:r>
      <w:proofErr w:type="spellEnd"/>
      <w:r w:rsidRPr="00DA7B31">
        <w:rPr>
          <w:rFonts w:cstheme="minorHAnsi"/>
          <w:sz w:val="20"/>
          <w:szCs w:val="20"/>
        </w:rPr>
        <w:t>, vol 1 », p 103-123</w:t>
      </w:r>
    </w:p>
    <w:p w14:paraId="1037D8E1"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Mariel P.L (2017) : « L’équilibre du régime de responsabilité en question », </w:t>
      </w:r>
      <w:r w:rsidRPr="00FB4D99">
        <w:rPr>
          <w:rFonts w:cstheme="minorHAnsi"/>
          <w:i/>
          <w:iCs/>
          <w:sz w:val="20"/>
          <w:szCs w:val="20"/>
        </w:rPr>
        <w:t>Revue Française de Finances Publiques</w:t>
      </w:r>
      <w:r w:rsidRPr="00DA7B31">
        <w:rPr>
          <w:rFonts w:cstheme="minorHAnsi"/>
          <w:sz w:val="20"/>
          <w:szCs w:val="20"/>
        </w:rPr>
        <w:t>, n°139, septembre, p 69-73</w:t>
      </w:r>
    </w:p>
    <w:p w14:paraId="4987E29D" w14:textId="77777777" w:rsidR="00AC6BC0" w:rsidRPr="00DA7B31" w:rsidRDefault="00AC6BC0" w:rsidP="00932E08">
      <w:pPr>
        <w:suppressAutoHyphens/>
        <w:jc w:val="both"/>
        <w:rPr>
          <w:rFonts w:cstheme="minorHAnsi"/>
          <w:sz w:val="20"/>
          <w:szCs w:val="20"/>
        </w:rPr>
      </w:pPr>
      <w:r w:rsidRPr="00DA7B31">
        <w:rPr>
          <w:rFonts w:cstheme="minorHAnsi"/>
          <w:sz w:val="20"/>
          <w:szCs w:val="20"/>
        </w:rPr>
        <w:t>Mariel P.L (2018) : « Le Compte Financier Unique : une chance pour la gouvernance</w:t>
      </w:r>
      <w:r w:rsidRPr="008E25F4">
        <w:rPr>
          <w:rFonts w:cstheme="minorHAnsi"/>
        </w:rPr>
        <w:t xml:space="preserve"> financière locale, des </w:t>
      </w:r>
      <w:r w:rsidRPr="00DA7B31">
        <w:rPr>
          <w:rFonts w:cstheme="minorHAnsi"/>
          <w:sz w:val="20"/>
          <w:szCs w:val="20"/>
        </w:rPr>
        <w:t xml:space="preserve">risques maitrisables », </w:t>
      </w:r>
      <w:r w:rsidRPr="00FB4D99">
        <w:rPr>
          <w:rFonts w:cstheme="minorHAnsi"/>
          <w:i/>
          <w:iCs/>
          <w:sz w:val="20"/>
          <w:szCs w:val="20"/>
        </w:rPr>
        <w:t>Revue Française de Finances Publiques,</w:t>
      </w:r>
      <w:r w:rsidRPr="00DA7B31">
        <w:rPr>
          <w:rFonts w:cstheme="minorHAnsi"/>
          <w:sz w:val="20"/>
          <w:szCs w:val="20"/>
        </w:rPr>
        <w:t xml:space="preserve"> n°144, novembre, p 95-101</w:t>
      </w:r>
    </w:p>
    <w:p w14:paraId="7D0D87AF" w14:textId="77777777" w:rsidR="00AC6BC0" w:rsidRPr="00F0670A" w:rsidRDefault="00AC6BC0" w:rsidP="00932E08">
      <w:pPr>
        <w:suppressAutoHyphens/>
        <w:jc w:val="both"/>
        <w:rPr>
          <w:rFonts w:cstheme="minorHAnsi"/>
          <w:sz w:val="18"/>
          <w:szCs w:val="18"/>
        </w:rPr>
      </w:pPr>
      <w:r w:rsidRPr="00F0670A">
        <w:rPr>
          <w:rFonts w:cstheme="minorHAnsi"/>
          <w:sz w:val="18"/>
          <w:szCs w:val="18"/>
        </w:rPr>
        <w:lastRenderedPageBreak/>
        <w:t>Michel-</w:t>
      </w:r>
      <w:proofErr w:type="spellStart"/>
      <w:r w:rsidRPr="00F0670A">
        <w:rPr>
          <w:rFonts w:cstheme="minorHAnsi"/>
          <w:sz w:val="18"/>
          <w:szCs w:val="18"/>
        </w:rPr>
        <w:t>Clupot</w:t>
      </w:r>
      <w:proofErr w:type="spellEnd"/>
      <w:r w:rsidRPr="00F0670A">
        <w:rPr>
          <w:rFonts w:cstheme="minorHAnsi"/>
          <w:sz w:val="18"/>
          <w:szCs w:val="18"/>
        </w:rPr>
        <w:t xml:space="preserve"> M et </w:t>
      </w:r>
      <w:proofErr w:type="spellStart"/>
      <w:r w:rsidRPr="00F0670A">
        <w:rPr>
          <w:rFonts w:cstheme="minorHAnsi"/>
          <w:sz w:val="18"/>
          <w:szCs w:val="18"/>
        </w:rPr>
        <w:t>Rouot</w:t>
      </w:r>
      <w:proofErr w:type="spellEnd"/>
      <w:r w:rsidRPr="00F0670A">
        <w:rPr>
          <w:rFonts w:cstheme="minorHAnsi"/>
          <w:sz w:val="18"/>
          <w:szCs w:val="18"/>
        </w:rPr>
        <w:t xml:space="preserve"> S (2014) : Communication financière des collectivités locales, l’apport de la théorie de l’agence en politique », </w:t>
      </w:r>
      <w:r w:rsidRPr="00F0670A">
        <w:rPr>
          <w:rFonts w:cstheme="minorHAnsi"/>
          <w:i/>
          <w:iCs/>
          <w:sz w:val="18"/>
          <w:szCs w:val="18"/>
        </w:rPr>
        <w:t>Revue Française de Gestion</w:t>
      </w:r>
      <w:r w:rsidRPr="00F0670A">
        <w:rPr>
          <w:rFonts w:cstheme="minorHAnsi"/>
          <w:sz w:val="18"/>
          <w:szCs w:val="18"/>
        </w:rPr>
        <w:t>, n°245/8, p 55-70</w:t>
      </w:r>
    </w:p>
    <w:p w14:paraId="0B1B3EF0" w14:textId="26ECF359" w:rsidR="00AC6BC0" w:rsidRPr="00F0670A" w:rsidRDefault="00AC6BC0" w:rsidP="00932E08">
      <w:pPr>
        <w:suppressAutoHyphens/>
        <w:jc w:val="both"/>
        <w:rPr>
          <w:rFonts w:cstheme="minorHAnsi"/>
          <w:sz w:val="18"/>
          <w:szCs w:val="18"/>
        </w:rPr>
      </w:pPr>
      <w:r w:rsidRPr="00F0670A">
        <w:rPr>
          <w:rFonts w:cstheme="minorHAnsi"/>
          <w:sz w:val="18"/>
          <w:szCs w:val="18"/>
        </w:rPr>
        <w:t>Michel-</w:t>
      </w:r>
      <w:proofErr w:type="spellStart"/>
      <w:r w:rsidRPr="00F0670A">
        <w:rPr>
          <w:rFonts w:cstheme="minorHAnsi"/>
          <w:sz w:val="18"/>
          <w:szCs w:val="18"/>
        </w:rPr>
        <w:t>Clupot</w:t>
      </w:r>
      <w:proofErr w:type="spellEnd"/>
      <w:r w:rsidRPr="00F0670A">
        <w:rPr>
          <w:rFonts w:cstheme="minorHAnsi"/>
          <w:sz w:val="18"/>
          <w:szCs w:val="18"/>
        </w:rPr>
        <w:t xml:space="preserve"> M et </w:t>
      </w:r>
      <w:proofErr w:type="spellStart"/>
      <w:r w:rsidRPr="00F0670A">
        <w:rPr>
          <w:rFonts w:cstheme="minorHAnsi"/>
          <w:sz w:val="18"/>
          <w:szCs w:val="18"/>
        </w:rPr>
        <w:t>Rouot</w:t>
      </w:r>
      <w:proofErr w:type="spellEnd"/>
      <w:r w:rsidRPr="00F0670A">
        <w:rPr>
          <w:rFonts w:cstheme="minorHAnsi"/>
          <w:sz w:val="18"/>
          <w:szCs w:val="18"/>
        </w:rPr>
        <w:t xml:space="preserve"> S (2015) : « Valeurs publiques et détournement d’usage du rating des collectivités locales », </w:t>
      </w:r>
      <w:r w:rsidRPr="00F0670A">
        <w:rPr>
          <w:rFonts w:cstheme="minorHAnsi"/>
          <w:i/>
          <w:iCs/>
          <w:sz w:val="18"/>
          <w:szCs w:val="18"/>
        </w:rPr>
        <w:t>Revue Internationale des Sciences Administratives</w:t>
      </w:r>
      <w:r w:rsidRPr="00F0670A">
        <w:rPr>
          <w:rFonts w:cstheme="minorHAnsi"/>
          <w:sz w:val="18"/>
          <w:szCs w:val="18"/>
        </w:rPr>
        <w:t xml:space="preserve">, vol 81, n°2, p 319-340 </w:t>
      </w:r>
    </w:p>
    <w:p w14:paraId="2F4A2221"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Migaud D (2018) : « Les propositions du premier président de la Cour des Comptes pour une rénovation du système de responsabilité financière », </w:t>
      </w:r>
      <w:r w:rsidRPr="00FB4D99">
        <w:rPr>
          <w:rFonts w:cstheme="minorHAnsi"/>
          <w:i/>
          <w:iCs/>
          <w:sz w:val="20"/>
          <w:szCs w:val="20"/>
        </w:rPr>
        <w:t>Gestion et Finances Publiques</w:t>
      </w:r>
      <w:r w:rsidRPr="00DA7B31">
        <w:rPr>
          <w:rFonts w:cstheme="minorHAnsi"/>
          <w:sz w:val="20"/>
          <w:szCs w:val="20"/>
        </w:rPr>
        <w:t>, n°4, p 71-74</w:t>
      </w:r>
    </w:p>
    <w:p w14:paraId="4A0C1485" w14:textId="0A146FA0"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Monneuse</w:t>
      </w:r>
      <w:proofErr w:type="spellEnd"/>
      <w:r w:rsidRPr="00DA7B31">
        <w:rPr>
          <w:rFonts w:cstheme="minorHAnsi"/>
          <w:sz w:val="20"/>
          <w:szCs w:val="20"/>
        </w:rPr>
        <w:t xml:space="preserve"> D et Gautier B (2013) : « Quand le rendu de compte tourne au règlement de compte », », </w:t>
      </w:r>
      <w:r w:rsidRPr="00FB4D99">
        <w:rPr>
          <w:rFonts w:cstheme="minorHAnsi"/>
          <w:i/>
          <w:iCs/>
          <w:sz w:val="20"/>
          <w:szCs w:val="20"/>
        </w:rPr>
        <w:t>Revue Française de Gestion</w:t>
      </w:r>
      <w:r w:rsidRPr="00DA7B31">
        <w:rPr>
          <w:rFonts w:cstheme="minorHAnsi"/>
          <w:sz w:val="20"/>
          <w:szCs w:val="20"/>
        </w:rPr>
        <w:t>, n° 237/8, p 133-146</w:t>
      </w:r>
    </w:p>
    <w:p w14:paraId="4C7C0590" w14:textId="77777777" w:rsidR="00AC6BC0" w:rsidRPr="00DA7B31" w:rsidRDefault="00AC6BC0" w:rsidP="00932E08">
      <w:pPr>
        <w:pStyle w:val="Titre1"/>
        <w:keepNext w:val="0"/>
        <w:keepLines w:val="0"/>
        <w:suppressAutoHyphens/>
        <w:spacing w:before="0" w:after="120"/>
        <w:jc w:val="both"/>
        <w:rPr>
          <w:rFonts w:asciiTheme="minorHAnsi" w:hAnsiTheme="minorHAnsi" w:cstheme="minorHAnsi"/>
          <w:b/>
          <w:sz w:val="20"/>
          <w:szCs w:val="20"/>
          <w:u w:val="none"/>
        </w:rPr>
      </w:pPr>
      <w:r w:rsidRPr="00DA7B31">
        <w:rPr>
          <w:rFonts w:asciiTheme="minorHAnsi" w:hAnsiTheme="minorHAnsi" w:cstheme="minorHAnsi"/>
          <w:sz w:val="20"/>
          <w:szCs w:val="20"/>
          <w:u w:val="none"/>
        </w:rPr>
        <w:t xml:space="preserve">Pierce J.L </w:t>
      </w:r>
      <w:r w:rsidRPr="00DA7B31">
        <w:rPr>
          <w:rFonts w:asciiTheme="minorHAnsi" w:hAnsiTheme="minorHAnsi" w:cstheme="minorHAnsi"/>
          <w:i/>
          <w:sz w:val="20"/>
          <w:szCs w:val="20"/>
          <w:u w:val="none"/>
        </w:rPr>
        <w:t>et al</w:t>
      </w:r>
      <w:r w:rsidRPr="00DA7B31">
        <w:rPr>
          <w:rFonts w:asciiTheme="minorHAnsi" w:hAnsiTheme="minorHAnsi" w:cstheme="minorHAnsi"/>
          <w:sz w:val="20"/>
          <w:szCs w:val="20"/>
          <w:u w:val="none"/>
        </w:rPr>
        <w:t xml:space="preserve"> (2001) : « </w:t>
      </w:r>
      <w:proofErr w:type="spellStart"/>
      <w:r w:rsidRPr="00DA7B31">
        <w:rPr>
          <w:rFonts w:asciiTheme="minorHAnsi" w:hAnsiTheme="minorHAnsi" w:cstheme="minorHAnsi"/>
          <w:sz w:val="20"/>
          <w:szCs w:val="20"/>
          <w:u w:val="none"/>
        </w:rPr>
        <w:t>Toward</w:t>
      </w:r>
      <w:proofErr w:type="spellEnd"/>
      <w:r w:rsidRPr="00DA7B31">
        <w:rPr>
          <w:rFonts w:asciiTheme="minorHAnsi" w:hAnsiTheme="minorHAnsi" w:cstheme="minorHAnsi"/>
          <w:sz w:val="20"/>
          <w:szCs w:val="20"/>
          <w:u w:val="none"/>
        </w:rPr>
        <w:t xml:space="preserve"> a </w:t>
      </w:r>
      <w:proofErr w:type="spellStart"/>
      <w:r w:rsidRPr="00DA7B31">
        <w:rPr>
          <w:rFonts w:asciiTheme="minorHAnsi" w:hAnsiTheme="minorHAnsi" w:cstheme="minorHAnsi"/>
          <w:sz w:val="20"/>
          <w:szCs w:val="20"/>
          <w:u w:val="none"/>
        </w:rPr>
        <w:t>theory</w:t>
      </w:r>
      <w:proofErr w:type="spellEnd"/>
      <w:r w:rsidRPr="00DA7B31">
        <w:rPr>
          <w:rFonts w:asciiTheme="minorHAnsi" w:hAnsiTheme="minorHAnsi" w:cstheme="minorHAnsi"/>
          <w:sz w:val="20"/>
          <w:szCs w:val="20"/>
          <w:u w:val="none"/>
        </w:rPr>
        <w:t xml:space="preserve"> of </w:t>
      </w:r>
      <w:proofErr w:type="spellStart"/>
      <w:r w:rsidRPr="00DA7B31">
        <w:rPr>
          <w:rFonts w:asciiTheme="minorHAnsi" w:hAnsiTheme="minorHAnsi" w:cstheme="minorHAnsi"/>
          <w:sz w:val="20"/>
          <w:szCs w:val="20"/>
          <w:u w:val="none"/>
        </w:rPr>
        <w:t>psychological</w:t>
      </w:r>
      <w:proofErr w:type="spellEnd"/>
      <w:r w:rsidRPr="00DA7B31">
        <w:rPr>
          <w:rFonts w:asciiTheme="minorHAnsi" w:hAnsiTheme="minorHAnsi" w:cstheme="minorHAnsi"/>
          <w:sz w:val="20"/>
          <w:szCs w:val="20"/>
          <w:u w:val="none"/>
        </w:rPr>
        <w:t xml:space="preserve"> </w:t>
      </w:r>
      <w:proofErr w:type="spellStart"/>
      <w:r w:rsidRPr="00DA7B31">
        <w:rPr>
          <w:rFonts w:asciiTheme="minorHAnsi" w:hAnsiTheme="minorHAnsi" w:cstheme="minorHAnsi"/>
          <w:sz w:val="20"/>
          <w:szCs w:val="20"/>
          <w:u w:val="none"/>
        </w:rPr>
        <w:t>ownership</w:t>
      </w:r>
      <w:proofErr w:type="spellEnd"/>
      <w:r w:rsidRPr="00DA7B31">
        <w:rPr>
          <w:rFonts w:asciiTheme="minorHAnsi" w:hAnsiTheme="minorHAnsi" w:cstheme="minorHAnsi"/>
          <w:sz w:val="20"/>
          <w:szCs w:val="20"/>
          <w:u w:val="none"/>
        </w:rPr>
        <w:t xml:space="preserve"> in </w:t>
      </w:r>
      <w:proofErr w:type="spellStart"/>
      <w:r w:rsidRPr="00DA7B31">
        <w:rPr>
          <w:rFonts w:asciiTheme="minorHAnsi" w:hAnsiTheme="minorHAnsi" w:cstheme="minorHAnsi"/>
          <w:sz w:val="20"/>
          <w:szCs w:val="20"/>
          <w:u w:val="none"/>
        </w:rPr>
        <w:t>organizations</w:t>
      </w:r>
      <w:proofErr w:type="spellEnd"/>
      <w:r w:rsidRPr="00DA7B31">
        <w:rPr>
          <w:rFonts w:asciiTheme="minorHAnsi" w:hAnsiTheme="minorHAnsi" w:cstheme="minorHAnsi"/>
          <w:sz w:val="20"/>
          <w:szCs w:val="20"/>
          <w:u w:val="none"/>
        </w:rPr>
        <w:t xml:space="preserve"> », </w:t>
      </w:r>
      <w:proofErr w:type="spellStart"/>
      <w:r w:rsidRPr="00FB4D99">
        <w:rPr>
          <w:rFonts w:asciiTheme="minorHAnsi" w:hAnsiTheme="minorHAnsi" w:cstheme="minorHAnsi"/>
          <w:i/>
          <w:iCs/>
          <w:sz w:val="20"/>
          <w:szCs w:val="20"/>
          <w:u w:val="none"/>
        </w:rPr>
        <w:t>Academy</w:t>
      </w:r>
      <w:proofErr w:type="spellEnd"/>
      <w:r w:rsidRPr="00FB4D99">
        <w:rPr>
          <w:rFonts w:asciiTheme="minorHAnsi" w:hAnsiTheme="minorHAnsi" w:cstheme="minorHAnsi"/>
          <w:i/>
          <w:iCs/>
          <w:sz w:val="20"/>
          <w:szCs w:val="20"/>
          <w:u w:val="none"/>
        </w:rPr>
        <w:t xml:space="preserve"> of</w:t>
      </w:r>
      <w:r w:rsidRPr="00DA7B31">
        <w:rPr>
          <w:rFonts w:asciiTheme="minorHAnsi" w:hAnsiTheme="minorHAnsi" w:cstheme="minorHAnsi"/>
          <w:sz w:val="20"/>
          <w:szCs w:val="20"/>
          <w:u w:val="none"/>
        </w:rPr>
        <w:t xml:space="preserve"> </w:t>
      </w:r>
      <w:r w:rsidRPr="00FB4D99">
        <w:rPr>
          <w:rFonts w:asciiTheme="minorHAnsi" w:hAnsiTheme="minorHAnsi" w:cstheme="minorHAnsi"/>
          <w:i/>
          <w:iCs/>
          <w:sz w:val="20"/>
          <w:szCs w:val="20"/>
          <w:u w:val="none"/>
        </w:rPr>
        <w:t xml:space="preserve">management </w:t>
      </w:r>
      <w:proofErr w:type="spellStart"/>
      <w:r w:rsidRPr="00FB4D99">
        <w:rPr>
          <w:rFonts w:asciiTheme="minorHAnsi" w:hAnsiTheme="minorHAnsi" w:cstheme="minorHAnsi"/>
          <w:i/>
          <w:iCs/>
          <w:sz w:val="20"/>
          <w:szCs w:val="20"/>
          <w:u w:val="none"/>
        </w:rPr>
        <w:t>Review</w:t>
      </w:r>
      <w:proofErr w:type="spellEnd"/>
      <w:r w:rsidRPr="00DA7B31">
        <w:rPr>
          <w:rFonts w:asciiTheme="minorHAnsi" w:hAnsiTheme="minorHAnsi" w:cstheme="minorHAnsi"/>
          <w:sz w:val="20"/>
          <w:szCs w:val="20"/>
          <w:u w:val="none"/>
        </w:rPr>
        <w:t>, 26, p 298-310</w:t>
      </w:r>
    </w:p>
    <w:p w14:paraId="4CEE3795" w14:textId="77777777" w:rsidR="00AC6BC0" w:rsidRPr="00DA7B31" w:rsidRDefault="00AC6BC0" w:rsidP="00932E08">
      <w:pPr>
        <w:pStyle w:val="Titre1"/>
        <w:keepNext w:val="0"/>
        <w:keepLines w:val="0"/>
        <w:suppressAutoHyphens/>
        <w:spacing w:before="0" w:after="120"/>
        <w:jc w:val="both"/>
        <w:rPr>
          <w:rFonts w:asciiTheme="minorHAnsi" w:hAnsiTheme="minorHAnsi" w:cstheme="minorHAnsi"/>
          <w:b/>
          <w:sz w:val="20"/>
          <w:szCs w:val="20"/>
          <w:u w:val="none"/>
        </w:rPr>
      </w:pPr>
      <w:r w:rsidRPr="00DA7B31">
        <w:rPr>
          <w:rFonts w:asciiTheme="minorHAnsi" w:hAnsiTheme="minorHAnsi" w:cstheme="minorHAnsi"/>
          <w:sz w:val="20"/>
          <w:szCs w:val="20"/>
          <w:u w:val="none"/>
        </w:rPr>
        <w:t xml:space="preserve">Portal M (2011) : « Les déterminants de la qualité de l’audit, le cas de l’audit des comptes publics », </w:t>
      </w:r>
      <w:r w:rsidRPr="00FB4D99">
        <w:rPr>
          <w:rFonts w:asciiTheme="minorHAnsi" w:hAnsiTheme="minorHAnsi" w:cstheme="minorHAnsi"/>
          <w:i/>
          <w:iCs/>
          <w:sz w:val="20"/>
          <w:szCs w:val="20"/>
          <w:u w:val="none"/>
        </w:rPr>
        <w:t>Comptabilité, Contrôle, Audit</w:t>
      </w:r>
      <w:r w:rsidRPr="00DA7B31">
        <w:rPr>
          <w:rFonts w:asciiTheme="minorHAnsi" w:hAnsiTheme="minorHAnsi" w:cstheme="minorHAnsi"/>
          <w:sz w:val="20"/>
          <w:szCs w:val="20"/>
          <w:u w:val="none"/>
        </w:rPr>
        <w:t>, tome 17, n°1, avril, p 37-66</w:t>
      </w:r>
    </w:p>
    <w:p w14:paraId="69D739E6" w14:textId="77777777" w:rsidR="00AC6BC0" w:rsidRPr="00DA7B31" w:rsidRDefault="00AC6BC0" w:rsidP="00932E08">
      <w:pPr>
        <w:pStyle w:val="Titre1"/>
        <w:keepNext w:val="0"/>
        <w:keepLines w:val="0"/>
        <w:suppressAutoHyphens/>
        <w:spacing w:before="0" w:after="120"/>
        <w:jc w:val="both"/>
        <w:rPr>
          <w:rFonts w:asciiTheme="minorHAnsi" w:hAnsiTheme="minorHAnsi" w:cstheme="minorHAnsi"/>
          <w:b/>
          <w:sz w:val="20"/>
          <w:szCs w:val="20"/>
          <w:u w:val="none"/>
        </w:rPr>
      </w:pPr>
      <w:r w:rsidRPr="00DA7B31">
        <w:rPr>
          <w:rFonts w:asciiTheme="minorHAnsi" w:hAnsiTheme="minorHAnsi" w:cstheme="minorHAnsi"/>
          <w:sz w:val="20"/>
          <w:szCs w:val="20"/>
          <w:u w:val="none"/>
        </w:rPr>
        <w:t>Power M (2003) : « </w:t>
      </w:r>
      <w:proofErr w:type="spellStart"/>
      <w:r w:rsidRPr="00DA7B31">
        <w:rPr>
          <w:rFonts w:asciiTheme="minorHAnsi" w:hAnsiTheme="minorHAnsi" w:cstheme="minorHAnsi"/>
          <w:sz w:val="20"/>
          <w:szCs w:val="20"/>
          <w:u w:val="none"/>
        </w:rPr>
        <w:t>Evaluating</w:t>
      </w:r>
      <w:proofErr w:type="spellEnd"/>
      <w:r w:rsidRPr="00DA7B31">
        <w:rPr>
          <w:rFonts w:asciiTheme="minorHAnsi" w:hAnsiTheme="minorHAnsi" w:cstheme="minorHAnsi"/>
          <w:sz w:val="20"/>
          <w:szCs w:val="20"/>
          <w:u w:val="none"/>
        </w:rPr>
        <w:t xml:space="preserve"> the audit explosion », </w:t>
      </w:r>
      <w:r w:rsidRPr="00DA78A3">
        <w:rPr>
          <w:rFonts w:asciiTheme="minorHAnsi" w:hAnsiTheme="minorHAnsi" w:cstheme="minorHAnsi"/>
          <w:i/>
          <w:iCs/>
          <w:sz w:val="20"/>
          <w:szCs w:val="20"/>
          <w:u w:val="none"/>
        </w:rPr>
        <w:t>Law &amp; Policy</w:t>
      </w:r>
      <w:r w:rsidRPr="00DA7B31">
        <w:rPr>
          <w:rFonts w:asciiTheme="minorHAnsi" w:hAnsiTheme="minorHAnsi" w:cstheme="minorHAnsi"/>
          <w:sz w:val="20"/>
          <w:szCs w:val="20"/>
          <w:u w:val="none"/>
        </w:rPr>
        <w:t>, 25, n°3, p 185-202</w:t>
      </w:r>
    </w:p>
    <w:p w14:paraId="00D5268B" w14:textId="3E42ED8D"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Pras</w:t>
      </w:r>
      <w:proofErr w:type="spellEnd"/>
      <w:r w:rsidRPr="00DA7B31">
        <w:rPr>
          <w:rFonts w:cstheme="minorHAnsi"/>
          <w:sz w:val="20"/>
          <w:szCs w:val="20"/>
        </w:rPr>
        <w:t xml:space="preserve"> B et </w:t>
      </w:r>
      <w:proofErr w:type="spellStart"/>
      <w:r w:rsidRPr="00DA7B31">
        <w:rPr>
          <w:rFonts w:cstheme="minorHAnsi"/>
          <w:sz w:val="20"/>
          <w:szCs w:val="20"/>
        </w:rPr>
        <w:t>Zarlowski</w:t>
      </w:r>
      <w:proofErr w:type="spellEnd"/>
      <w:r w:rsidRPr="00DA7B31">
        <w:rPr>
          <w:rFonts w:cstheme="minorHAnsi"/>
          <w:sz w:val="20"/>
          <w:szCs w:val="20"/>
        </w:rPr>
        <w:t xml:space="preserve"> P (2013) : « Obligation de rendre des comptes, Enjeux de légitimité et d’efficacité », </w:t>
      </w:r>
      <w:r w:rsidRPr="00FB4D99">
        <w:rPr>
          <w:rFonts w:cstheme="minorHAnsi"/>
          <w:i/>
          <w:iCs/>
          <w:sz w:val="20"/>
          <w:szCs w:val="20"/>
        </w:rPr>
        <w:t>Revue Française de Gestion</w:t>
      </w:r>
      <w:r w:rsidRPr="00DA7B31">
        <w:rPr>
          <w:rFonts w:cstheme="minorHAnsi"/>
          <w:sz w:val="20"/>
          <w:szCs w:val="20"/>
        </w:rPr>
        <w:t>, n° 237/8, p13-32</w:t>
      </w:r>
    </w:p>
    <w:p w14:paraId="28A0103E" w14:textId="253C9C8F" w:rsidR="00743DE9" w:rsidRPr="008E25F4" w:rsidRDefault="00743DE9" w:rsidP="00932E08">
      <w:pPr>
        <w:suppressAutoHyphens/>
        <w:jc w:val="both"/>
        <w:rPr>
          <w:rFonts w:cstheme="minorHAnsi"/>
        </w:rPr>
      </w:pPr>
      <w:r w:rsidRPr="00DA7B31">
        <w:rPr>
          <w:rFonts w:cstheme="minorHAnsi"/>
          <w:sz w:val="20"/>
          <w:szCs w:val="20"/>
        </w:rPr>
        <w:t xml:space="preserve">Prat MP (2009) : « Le problème de la certification des comptes des collectivités locales, un rôle nouveau pour les Chambres Régionales des Comptes ? », </w:t>
      </w:r>
      <w:r w:rsidRPr="00FB4D99">
        <w:rPr>
          <w:rFonts w:cstheme="minorHAnsi"/>
          <w:i/>
          <w:iCs/>
          <w:sz w:val="20"/>
          <w:szCs w:val="20"/>
        </w:rPr>
        <w:t>Revue Française de Finances Publiques</w:t>
      </w:r>
      <w:r w:rsidRPr="00DA7B31">
        <w:rPr>
          <w:rFonts w:cstheme="minorHAnsi"/>
          <w:sz w:val="20"/>
          <w:szCs w:val="20"/>
        </w:rPr>
        <w:t>, n°107, janvier</w:t>
      </w:r>
      <w:r w:rsidRPr="008E25F4">
        <w:rPr>
          <w:rFonts w:cstheme="minorHAnsi"/>
        </w:rPr>
        <w:t>, p 193-202</w:t>
      </w:r>
    </w:p>
    <w:p w14:paraId="0C344AE3"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Preston A.E (1989) : « The </w:t>
      </w:r>
      <w:proofErr w:type="spellStart"/>
      <w:r w:rsidRPr="00DA7B31">
        <w:rPr>
          <w:rFonts w:cstheme="minorHAnsi"/>
          <w:sz w:val="20"/>
          <w:szCs w:val="20"/>
        </w:rPr>
        <w:t>nonprofit</w:t>
      </w:r>
      <w:proofErr w:type="spellEnd"/>
      <w:r w:rsidRPr="00DA7B31">
        <w:rPr>
          <w:rFonts w:cstheme="minorHAnsi"/>
          <w:sz w:val="20"/>
          <w:szCs w:val="20"/>
        </w:rPr>
        <w:t xml:space="preserve"> </w:t>
      </w:r>
      <w:proofErr w:type="spellStart"/>
      <w:r w:rsidRPr="00DA7B31">
        <w:rPr>
          <w:rFonts w:cstheme="minorHAnsi"/>
          <w:sz w:val="20"/>
          <w:szCs w:val="20"/>
        </w:rPr>
        <w:t>worker</w:t>
      </w:r>
      <w:proofErr w:type="spellEnd"/>
      <w:r w:rsidRPr="00DA7B31">
        <w:rPr>
          <w:rFonts w:cstheme="minorHAnsi"/>
          <w:sz w:val="20"/>
          <w:szCs w:val="20"/>
        </w:rPr>
        <w:t xml:space="preserve"> in </w:t>
      </w:r>
      <w:proofErr w:type="gramStart"/>
      <w:r w:rsidRPr="00DA7B31">
        <w:rPr>
          <w:rFonts w:cstheme="minorHAnsi"/>
          <w:sz w:val="20"/>
          <w:szCs w:val="20"/>
        </w:rPr>
        <w:t>a</w:t>
      </w:r>
      <w:proofErr w:type="gramEnd"/>
      <w:r w:rsidRPr="00DA7B31">
        <w:rPr>
          <w:rFonts w:cstheme="minorHAnsi"/>
          <w:sz w:val="20"/>
          <w:szCs w:val="20"/>
        </w:rPr>
        <w:t xml:space="preserve"> for-profit world », </w:t>
      </w:r>
      <w:r w:rsidRPr="00DA78A3">
        <w:rPr>
          <w:rFonts w:cstheme="minorHAnsi"/>
          <w:i/>
          <w:iCs/>
          <w:sz w:val="20"/>
          <w:szCs w:val="20"/>
        </w:rPr>
        <w:t xml:space="preserve">Journal of Labor </w:t>
      </w:r>
      <w:proofErr w:type="spellStart"/>
      <w:r w:rsidRPr="00DA78A3">
        <w:rPr>
          <w:rFonts w:cstheme="minorHAnsi"/>
          <w:i/>
          <w:iCs/>
          <w:sz w:val="20"/>
          <w:szCs w:val="20"/>
        </w:rPr>
        <w:t>Economics</w:t>
      </w:r>
      <w:proofErr w:type="spellEnd"/>
      <w:r w:rsidRPr="00DA78A3">
        <w:rPr>
          <w:rFonts w:cstheme="minorHAnsi"/>
          <w:i/>
          <w:iCs/>
          <w:sz w:val="20"/>
          <w:szCs w:val="20"/>
        </w:rPr>
        <w:t xml:space="preserve"> </w:t>
      </w:r>
      <w:r w:rsidRPr="00DA7B31">
        <w:rPr>
          <w:rFonts w:cstheme="minorHAnsi"/>
          <w:sz w:val="20"/>
          <w:szCs w:val="20"/>
        </w:rPr>
        <w:t>n° 7, p 438-463</w:t>
      </w:r>
    </w:p>
    <w:p w14:paraId="4D299645" w14:textId="77777777" w:rsidR="00AC6BC0" w:rsidRPr="00DA7B31" w:rsidRDefault="00AC6BC0" w:rsidP="00932E08">
      <w:pPr>
        <w:suppressAutoHyphens/>
        <w:jc w:val="both"/>
        <w:rPr>
          <w:rFonts w:cstheme="minorHAnsi"/>
          <w:sz w:val="20"/>
          <w:szCs w:val="20"/>
        </w:rPr>
      </w:pPr>
      <w:r w:rsidRPr="00DA7B31">
        <w:rPr>
          <w:rFonts w:cstheme="minorHAnsi"/>
          <w:sz w:val="20"/>
          <w:szCs w:val="20"/>
        </w:rPr>
        <w:t>Prévost G (2018) : « Vers un Compte Financier Unique pour les collectivités territoriales </w:t>
      </w:r>
      <w:r w:rsidRPr="00DA78A3">
        <w:rPr>
          <w:rFonts w:cstheme="minorHAnsi"/>
          <w:i/>
          <w:iCs/>
          <w:sz w:val="20"/>
          <w:szCs w:val="20"/>
        </w:rPr>
        <w:t>», Revue Française de Finances Publiques</w:t>
      </w:r>
      <w:r w:rsidRPr="00FB4D99">
        <w:rPr>
          <w:rFonts w:cstheme="minorHAnsi"/>
          <w:sz w:val="20"/>
          <w:szCs w:val="20"/>
        </w:rPr>
        <w:t xml:space="preserve">, </w:t>
      </w:r>
      <w:r w:rsidRPr="00DA7B31">
        <w:rPr>
          <w:rFonts w:cstheme="minorHAnsi"/>
          <w:sz w:val="20"/>
          <w:szCs w:val="20"/>
        </w:rPr>
        <w:t>n°144, novembre, p 15-25</w:t>
      </w:r>
    </w:p>
    <w:p w14:paraId="1FBAAA91" w14:textId="2877A159" w:rsidR="00DA7B31" w:rsidRPr="00DA7B31" w:rsidRDefault="00DA7B31" w:rsidP="00932E08">
      <w:pPr>
        <w:jc w:val="both"/>
        <w:rPr>
          <w:rFonts w:cstheme="minorHAnsi"/>
          <w:sz w:val="20"/>
          <w:szCs w:val="20"/>
        </w:rPr>
      </w:pPr>
      <w:proofErr w:type="spellStart"/>
      <w:r w:rsidRPr="00DA7B31">
        <w:rPr>
          <w:rFonts w:cstheme="minorHAnsi"/>
          <w:sz w:val="20"/>
          <w:szCs w:val="20"/>
        </w:rPr>
        <w:t>Propper</w:t>
      </w:r>
      <w:proofErr w:type="spellEnd"/>
      <w:r w:rsidRPr="00DA7B31">
        <w:rPr>
          <w:rFonts w:cstheme="minorHAnsi"/>
          <w:sz w:val="20"/>
          <w:szCs w:val="20"/>
        </w:rPr>
        <w:t xml:space="preserve"> C et Wilson B (2003) : « The use and </w:t>
      </w:r>
      <w:proofErr w:type="spellStart"/>
      <w:r w:rsidRPr="00DA7B31">
        <w:rPr>
          <w:rFonts w:cstheme="minorHAnsi"/>
          <w:sz w:val="20"/>
          <w:szCs w:val="20"/>
        </w:rPr>
        <w:t>usefulness</w:t>
      </w:r>
      <w:proofErr w:type="spellEnd"/>
      <w:r w:rsidRPr="00DA7B31">
        <w:rPr>
          <w:rFonts w:cstheme="minorHAnsi"/>
          <w:sz w:val="20"/>
          <w:szCs w:val="20"/>
        </w:rPr>
        <w:t xml:space="preserve"> of performance </w:t>
      </w:r>
      <w:proofErr w:type="spellStart"/>
      <w:r w:rsidRPr="00DA7B31">
        <w:rPr>
          <w:rFonts w:cstheme="minorHAnsi"/>
          <w:sz w:val="20"/>
          <w:szCs w:val="20"/>
        </w:rPr>
        <w:t>measures</w:t>
      </w:r>
      <w:proofErr w:type="spellEnd"/>
      <w:r w:rsidRPr="00DA7B31">
        <w:rPr>
          <w:rFonts w:cstheme="minorHAnsi"/>
          <w:sz w:val="20"/>
          <w:szCs w:val="20"/>
        </w:rPr>
        <w:t xml:space="preserve"> in the public</w:t>
      </w:r>
      <w:r w:rsidR="00267634">
        <w:rPr>
          <w:rFonts w:cstheme="minorHAnsi"/>
          <w:sz w:val="20"/>
          <w:szCs w:val="20"/>
        </w:rPr>
        <w:t xml:space="preserve"> </w:t>
      </w:r>
      <w:proofErr w:type="spellStart"/>
      <w:r w:rsidRPr="00DA7B31">
        <w:rPr>
          <w:rFonts w:cstheme="minorHAnsi"/>
          <w:sz w:val="20"/>
          <w:szCs w:val="20"/>
        </w:rPr>
        <w:t>sector</w:t>
      </w:r>
      <w:proofErr w:type="spellEnd"/>
      <w:r w:rsidRPr="00DA7B31">
        <w:rPr>
          <w:rFonts w:cstheme="minorHAnsi"/>
          <w:sz w:val="20"/>
          <w:szCs w:val="20"/>
        </w:rPr>
        <w:t> </w:t>
      </w:r>
      <w:r w:rsidRPr="00FB4D99">
        <w:rPr>
          <w:rFonts w:cstheme="minorHAnsi"/>
          <w:i/>
          <w:iCs/>
          <w:sz w:val="20"/>
          <w:szCs w:val="20"/>
        </w:rPr>
        <w:t xml:space="preserve">», Oxford </w:t>
      </w:r>
      <w:proofErr w:type="spellStart"/>
      <w:r w:rsidRPr="00FB4D99">
        <w:rPr>
          <w:rFonts w:cstheme="minorHAnsi"/>
          <w:i/>
          <w:iCs/>
          <w:sz w:val="20"/>
          <w:szCs w:val="20"/>
        </w:rPr>
        <w:t>view</w:t>
      </w:r>
      <w:proofErr w:type="spellEnd"/>
      <w:r w:rsidRPr="00FB4D99">
        <w:rPr>
          <w:rFonts w:cstheme="minorHAnsi"/>
          <w:i/>
          <w:iCs/>
          <w:sz w:val="20"/>
          <w:szCs w:val="20"/>
        </w:rPr>
        <w:t xml:space="preserve"> of </w:t>
      </w:r>
      <w:proofErr w:type="spellStart"/>
      <w:r w:rsidRPr="00FB4D99">
        <w:rPr>
          <w:rFonts w:cstheme="minorHAnsi"/>
          <w:i/>
          <w:iCs/>
          <w:sz w:val="20"/>
          <w:szCs w:val="20"/>
        </w:rPr>
        <w:t>economic</w:t>
      </w:r>
      <w:proofErr w:type="spellEnd"/>
      <w:r w:rsidRPr="00FB4D99">
        <w:rPr>
          <w:rFonts w:cstheme="minorHAnsi"/>
          <w:i/>
          <w:iCs/>
          <w:sz w:val="20"/>
          <w:szCs w:val="20"/>
        </w:rPr>
        <w:t xml:space="preserve"> </w:t>
      </w:r>
      <w:proofErr w:type="spellStart"/>
      <w:r w:rsidRPr="00FB4D99">
        <w:rPr>
          <w:rFonts w:cstheme="minorHAnsi"/>
          <w:i/>
          <w:iCs/>
          <w:sz w:val="20"/>
          <w:szCs w:val="20"/>
        </w:rPr>
        <w:t>policy</w:t>
      </w:r>
      <w:proofErr w:type="spellEnd"/>
      <w:r w:rsidRPr="00FB4D99">
        <w:rPr>
          <w:rFonts w:cstheme="minorHAnsi"/>
          <w:i/>
          <w:iCs/>
          <w:sz w:val="20"/>
          <w:szCs w:val="20"/>
        </w:rPr>
        <w:t>,</w:t>
      </w:r>
      <w:r w:rsidRPr="00DA7B31">
        <w:rPr>
          <w:rFonts w:cstheme="minorHAnsi"/>
          <w:sz w:val="20"/>
          <w:szCs w:val="20"/>
        </w:rPr>
        <w:t xml:space="preserve"> vol 19, n°2,</w:t>
      </w:r>
      <w:r w:rsidR="00267634">
        <w:rPr>
          <w:rFonts w:cstheme="minorHAnsi"/>
          <w:sz w:val="20"/>
          <w:szCs w:val="20"/>
        </w:rPr>
        <w:t xml:space="preserve"> </w:t>
      </w:r>
      <w:r w:rsidRPr="00DA7B31">
        <w:rPr>
          <w:rFonts w:cstheme="minorHAnsi"/>
          <w:sz w:val="20"/>
          <w:szCs w:val="20"/>
        </w:rPr>
        <w:t xml:space="preserve">p 250-267 </w:t>
      </w:r>
    </w:p>
    <w:p w14:paraId="68ED8E7F" w14:textId="77777777" w:rsidR="00267634" w:rsidRDefault="00DA7B31" w:rsidP="00932E08">
      <w:pPr>
        <w:jc w:val="both"/>
        <w:rPr>
          <w:rFonts w:cstheme="minorHAnsi"/>
          <w:sz w:val="20"/>
          <w:szCs w:val="20"/>
        </w:rPr>
      </w:pPr>
      <w:proofErr w:type="spellStart"/>
      <w:r w:rsidRPr="00DA7B31">
        <w:rPr>
          <w:rFonts w:cstheme="minorHAnsi"/>
          <w:sz w:val="20"/>
          <w:szCs w:val="20"/>
        </w:rPr>
        <w:t>Schillemans</w:t>
      </w:r>
      <w:proofErr w:type="spellEnd"/>
      <w:r w:rsidRPr="00DA7B31">
        <w:rPr>
          <w:rFonts w:cstheme="minorHAnsi"/>
          <w:sz w:val="20"/>
          <w:szCs w:val="20"/>
        </w:rPr>
        <w:t xml:space="preserve"> T et </w:t>
      </w:r>
      <w:proofErr w:type="spellStart"/>
      <w:r w:rsidRPr="00DA7B31">
        <w:rPr>
          <w:rFonts w:cstheme="minorHAnsi"/>
          <w:sz w:val="20"/>
          <w:szCs w:val="20"/>
        </w:rPr>
        <w:t>Busuioc</w:t>
      </w:r>
      <w:proofErr w:type="spellEnd"/>
      <w:r w:rsidRPr="00DA7B31">
        <w:rPr>
          <w:rFonts w:cstheme="minorHAnsi"/>
          <w:sz w:val="20"/>
          <w:szCs w:val="20"/>
        </w:rPr>
        <w:t xml:space="preserve"> M (2015) : « </w:t>
      </w:r>
      <w:proofErr w:type="spellStart"/>
      <w:r w:rsidRPr="00DA7B31">
        <w:rPr>
          <w:rFonts w:cstheme="minorHAnsi"/>
          <w:sz w:val="20"/>
          <w:szCs w:val="20"/>
        </w:rPr>
        <w:t>Predicting</w:t>
      </w:r>
      <w:proofErr w:type="spellEnd"/>
      <w:r w:rsidRPr="00DA7B31">
        <w:rPr>
          <w:rFonts w:cstheme="minorHAnsi"/>
          <w:sz w:val="20"/>
          <w:szCs w:val="20"/>
        </w:rPr>
        <w:t xml:space="preserve"> Public </w:t>
      </w:r>
      <w:proofErr w:type="spellStart"/>
      <w:r w:rsidRPr="00DA7B31">
        <w:rPr>
          <w:rFonts w:cstheme="minorHAnsi"/>
          <w:sz w:val="20"/>
          <w:szCs w:val="20"/>
        </w:rPr>
        <w:t>Sector</w:t>
      </w:r>
      <w:proofErr w:type="spellEnd"/>
      <w:r w:rsidRPr="00DA7B31">
        <w:rPr>
          <w:rFonts w:cstheme="minorHAnsi"/>
          <w:sz w:val="20"/>
          <w:szCs w:val="20"/>
        </w:rPr>
        <w:t xml:space="preserve"> </w:t>
      </w:r>
      <w:proofErr w:type="spellStart"/>
      <w:r w:rsidRPr="00DA7B31">
        <w:rPr>
          <w:rFonts w:cstheme="minorHAnsi"/>
          <w:sz w:val="20"/>
          <w:szCs w:val="20"/>
        </w:rPr>
        <w:t>Accountability</w:t>
      </w:r>
      <w:proofErr w:type="spellEnd"/>
      <w:r w:rsidRPr="00DA7B31">
        <w:rPr>
          <w:rFonts w:cstheme="minorHAnsi"/>
          <w:sz w:val="20"/>
          <w:szCs w:val="20"/>
        </w:rPr>
        <w:t xml:space="preserve"> : </w:t>
      </w:r>
      <w:proofErr w:type="spellStart"/>
      <w:r w:rsidRPr="00DA7B31">
        <w:rPr>
          <w:rFonts w:cstheme="minorHAnsi"/>
          <w:sz w:val="20"/>
          <w:szCs w:val="20"/>
        </w:rPr>
        <w:t>from</w:t>
      </w:r>
      <w:proofErr w:type="spellEnd"/>
      <w:r w:rsidRPr="00DA7B31">
        <w:rPr>
          <w:rFonts w:cstheme="minorHAnsi"/>
          <w:sz w:val="20"/>
          <w:szCs w:val="20"/>
        </w:rPr>
        <w:t xml:space="preserve"> Agency drift to Forum Drift », </w:t>
      </w:r>
      <w:r w:rsidRPr="00FB4D99">
        <w:rPr>
          <w:rFonts w:cstheme="minorHAnsi"/>
          <w:i/>
          <w:iCs/>
          <w:sz w:val="20"/>
          <w:szCs w:val="20"/>
        </w:rPr>
        <w:t xml:space="preserve">Journal of Public administration </w:t>
      </w:r>
      <w:proofErr w:type="spellStart"/>
      <w:r w:rsidRPr="00FB4D99">
        <w:rPr>
          <w:rFonts w:cstheme="minorHAnsi"/>
          <w:i/>
          <w:iCs/>
          <w:sz w:val="20"/>
          <w:szCs w:val="20"/>
        </w:rPr>
        <w:t>Research</w:t>
      </w:r>
      <w:proofErr w:type="spellEnd"/>
      <w:r w:rsidRPr="00FB4D99">
        <w:rPr>
          <w:rFonts w:cstheme="minorHAnsi"/>
          <w:i/>
          <w:iCs/>
          <w:sz w:val="20"/>
          <w:szCs w:val="20"/>
        </w:rPr>
        <w:t xml:space="preserve"> and Theory</w:t>
      </w:r>
      <w:r w:rsidRPr="00DA7B31">
        <w:rPr>
          <w:rFonts w:cstheme="minorHAnsi"/>
          <w:sz w:val="20"/>
          <w:szCs w:val="20"/>
        </w:rPr>
        <w:t>, n°25, p 191-215</w:t>
      </w:r>
    </w:p>
    <w:p w14:paraId="243EBFB8" w14:textId="085CBDE4" w:rsidR="00DA7B31" w:rsidRPr="00DA7B31" w:rsidRDefault="00DA7B31" w:rsidP="00932E08">
      <w:pPr>
        <w:jc w:val="both"/>
        <w:rPr>
          <w:rFonts w:cstheme="minorHAnsi"/>
          <w:sz w:val="20"/>
          <w:szCs w:val="20"/>
        </w:rPr>
      </w:pPr>
      <w:r w:rsidRPr="00DA7B31">
        <w:rPr>
          <w:rFonts w:cstheme="minorHAnsi"/>
          <w:sz w:val="20"/>
          <w:szCs w:val="20"/>
        </w:rPr>
        <w:t xml:space="preserve">Tanguy F (2019) : « Du décret GBCP à Action Publique 2022 : 5 ans de modernisation de la Gestion budgétaire et comptable », </w:t>
      </w:r>
      <w:r w:rsidRPr="00FB4D99">
        <w:rPr>
          <w:rFonts w:cstheme="minorHAnsi"/>
          <w:i/>
          <w:iCs/>
          <w:sz w:val="20"/>
          <w:szCs w:val="20"/>
        </w:rPr>
        <w:t>Gestion et Finances Publiques</w:t>
      </w:r>
      <w:r w:rsidRPr="00DA7B31">
        <w:rPr>
          <w:rFonts w:cstheme="minorHAnsi"/>
          <w:sz w:val="20"/>
          <w:szCs w:val="20"/>
        </w:rPr>
        <w:t>, n°2, mars-avril, p64-79</w:t>
      </w:r>
    </w:p>
    <w:p w14:paraId="164DB469" w14:textId="393C7547" w:rsidR="00DA7B31" w:rsidRPr="00DA7B31" w:rsidRDefault="00DA7B31" w:rsidP="00932E08">
      <w:pPr>
        <w:jc w:val="both"/>
        <w:rPr>
          <w:rFonts w:cstheme="minorHAnsi"/>
          <w:sz w:val="20"/>
          <w:szCs w:val="20"/>
        </w:rPr>
      </w:pPr>
      <w:proofErr w:type="spellStart"/>
      <w:r w:rsidRPr="00DA7B31">
        <w:rPr>
          <w:rFonts w:cstheme="minorHAnsi"/>
          <w:sz w:val="20"/>
          <w:szCs w:val="20"/>
        </w:rPr>
        <w:t>Tillema</w:t>
      </w:r>
      <w:proofErr w:type="spellEnd"/>
      <w:r w:rsidRPr="00DA7B31">
        <w:rPr>
          <w:rFonts w:cstheme="minorHAnsi"/>
          <w:sz w:val="20"/>
          <w:szCs w:val="20"/>
        </w:rPr>
        <w:t xml:space="preserve"> S et Ter </w:t>
      </w:r>
      <w:proofErr w:type="spellStart"/>
      <w:r w:rsidRPr="00DA7B31">
        <w:rPr>
          <w:rFonts w:cstheme="minorHAnsi"/>
          <w:sz w:val="20"/>
          <w:szCs w:val="20"/>
        </w:rPr>
        <w:t>Bogt</w:t>
      </w:r>
      <w:proofErr w:type="spellEnd"/>
      <w:r w:rsidRPr="00DA7B31">
        <w:rPr>
          <w:rFonts w:cstheme="minorHAnsi"/>
          <w:sz w:val="20"/>
          <w:szCs w:val="20"/>
        </w:rPr>
        <w:t xml:space="preserve"> H.J (2016) : « </w:t>
      </w:r>
      <w:proofErr w:type="spellStart"/>
      <w:r w:rsidRPr="00DA7B31">
        <w:rPr>
          <w:rFonts w:cstheme="minorHAnsi"/>
          <w:sz w:val="20"/>
          <w:szCs w:val="20"/>
        </w:rPr>
        <w:t>Does</w:t>
      </w:r>
      <w:proofErr w:type="spellEnd"/>
      <w:r w:rsidRPr="00DA7B31">
        <w:rPr>
          <w:rFonts w:cstheme="minorHAnsi"/>
          <w:sz w:val="20"/>
          <w:szCs w:val="20"/>
        </w:rPr>
        <w:t xml:space="preserve"> an Agency-Type of Audit Model Fit a </w:t>
      </w:r>
      <w:proofErr w:type="spellStart"/>
      <w:r w:rsidRPr="00DA7B31">
        <w:rPr>
          <w:rFonts w:cstheme="minorHAnsi"/>
          <w:sz w:val="20"/>
          <w:szCs w:val="20"/>
        </w:rPr>
        <w:t>Stewardship</w:t>
      </w:r>
      <w:proofErr w:type="spellEnd"/>
      <w:r w:rsidRPr="00DA7B31">
        <w:rPr>
          <w:rFonts w:cstheme="minorHAnsi"/>
          <w:sz w:val="20"/>
          <w:szCs w:val="20"/>
        </w:rPr>
        <w:t xml:space="preserve"> </w:t>
      </w:r>
      <w:proofErr w:type="spellStart"/>
      <w:r w:rsidRPr="00DA7B31">
        <w:rPr>
          <w:rFonts w:cstheme="minorHAnsi"/>
          <w:sz w:val="20"/>
          <w:szCs w:val="20"/>
        </w:rPr>
        <w:t>context</w:t>
      </w:r>
      <w:proofErr w:type="spellEnd"/>
      <w:r w:rsidRPr="00DA7B31">
        <w:rPr>
          <w:rFonts w:cstheme="minorHAnsi"/>
          <w:sz w:val="20"/>
          <w:szCs w:val="20"/>
        </w:rPr>
        <w:t xml:space="preserve"> ? Evidence </w:t>
      </w:r>
      <w:proofErr w:type="spellStart"/>
      <w:r w:rsidRPr="00DA7B31">
        <w:rPr>
          <w:rFonts w:cstheme="minorHAnsi"/>
          <w:sz w:val="20"/>
          <w:szCs w:val="20"/>
        </w:rPr>
        <w:t>from</w:t>
      </w:r>
      <w:proofErr w:type="spellEnd"/>
      <w:r w:rsidRPr="00DA7B31">
        <w:rPr>
          <w:rFonts w:cstheme="minorHAnsi"/>
          <w:sz w:val="20"/>
          <w:szCs w:val="20"/>
        </w:rPr>
        <w:t xml:space="preserve"> Performance </w:t>
      </w:r>
      <w:proofErr w:type="spellStart"/>
      <w:r w:rsidRPr="00DA7B31">
        <w:rPr>
          <w:rFonts w:cstheme="minorHAnsi"/>
          <w:sz w:val="20"/>
          <w:szCs w:val="20"/>
        </w:rPr>
        <w:t>Auditing</w:t>
      </w:r>
      <w:proofErr w:type="spellEnd"/>
      <w:r w:rsidRPr="00DA7B31">
        <w:rPr>
          <w:rFonts w:cstheme="minorHAnsi"/>
          <w:sz w:val="20"/>
          <w:szCs w:val="20"/>
        </w:rPr>
        <w:t xml:space="preserve"> in Dutch </w:t>
      </w:r>
      <w:proofErr w:type="spellStart"/>
      <w:r w:rsidRPr="00DA7B31">
        <w:rPr>
          <w:rFonts w:cstheme="minorHAnsi"/>
          <w:sz w:val="20"/>
          <w:szCs w:val="20"/>
        </w:rPr>
        <w:t>Municipalities</w:t>
      </w:r>
      <w:proofErr w:type="spellEnd"/>
      <w:r w:rsidR="00276E50">
        <w:rPr>
          <w:rFonts w:cstheme="minorHAnsi"/>
          <w:sz w:val="20"/>
          <w:szCs w:val="20"/>
        </w:rPr>
        <w:t> »</w:t>
      </w:r>
      <w:r w:rsidRPr="00DA7B31">
        <w:rPr>
          <w:rFonts w:cstheme="minorHAnsi"/>
          <w:sz w:val="20"/>
          <w:szCs w:val="20"/>
        </w:rPr>
        <w:t xml:space="preserve">, </w:t>
      </w:r>
      <w:r w:rsidRPr="00FB4D99">
        <w:rPr>
          <w:rFonts w:cstheme="minorHAnsi"/>
          <w:i/>
          <w:iCs/>
          <w:sz w:val="20"/>
          <w:szCs w:val="20"/>
        </w:rPr>
        <w:t xml:space="preserve">Financial </w:t>
      </w:r>
      <w:proofErr w:type="spellStart"/>
      <w:r w:rsidRPr="00FB4D99">
        <w:rPr>
          <w:rFonts w:cstheme="minorHAnsi"/>
          <w:i/>
          <w:iCs/>
          <w:sz w:val="20"/>
          <w:szCs w:val="20"/>
        </w:rPr>
        <w:t>Accounting</w:t>
      </w:r>
      <w:proofErr w:type="spellEnd"/>
      <w:r w:rsidRPr="00FB4D99">
        <w:rPr>
          <w:rFonts w:cstheme="minorHAnsi"/>
          <w:i/>
          <w:iCs/>
          <w:sz w:val="20"/>
          <w:szCs w:val="20"/>
        </w:rPr>
        <w:t xml:space="preserve"> and Management</w:t>
      </w:r>
      <w:r w:rsidRPr="00DA7B31">
        <w:rPr>
          <w:rFonts w:cstheme="minorHAnsi"/>
          <w:sz w:val="20"/>
          <w:szCs w:val="20"/>
        </w:rPr>
        <w:t>, vol 32, n°2, p 135-156</w:t>
      </w:r>
    </w:p>
    <w:p w14:paraId="0C3EF1F3" w14:textId="39CDE02C" w:rsidR="00AC6BC0" w:rsidRPr="00DA7B31" w:rsidRDefault="00AC6BC0" w:rsidP="00932E08">
      <w:pPr>
        <w:suppressAutoHyphens/>
        <w:jc w:val="both"/>
        <w:rPr>
          <w:rFonts w:cstheme="minorHAnsi"/>
          <w:sz w:val="20"/>
          <w:szCs w:val="20"/>
        </w:rPr>
      </w:pPr>
      <w:r w:rsidRPr="00DA7B31">
        <w:rPr>
          <w:rFonts w:cstheme="minorHAnsi"/>
          <w:sz w:val="20"/>
          <w:szCs w:val="20"/>
        </w:rPr>
        <w:t xml:space="preserve">Van Herzele P (2019) : « La certification des comptes publics locaux : vers un compte financier unique pour quel objectif ? », </w:t>
      </w:r>
      <w:r w:rsidRPr="00FB4D99">
        <w:rPr>
          <w:rFonts w:cstheme="minorHAnsi"/>
          <w:i/>
          <w:iCs/>
          <w:sz w:val="20"/>
          <w:szCs w:val="20"/>
        </w:rPr>
        <w:t>Revue Française de Finances Publiques</w:t>
      </w:r>
      <w:r w:rsidRPr="00DA7B31">
        <w:rPr>
          <w:rFonts w:cstheme="minorHAnsi"/>
          <w:sz w:val="20"/>
          <w:szCs w:val="20"/>
        </w:rPr>
        <w:t>, n°145, p 75-80</w:t>
      </w:r>
    </w:p>
    <w:p w14:paraId="65D4A309"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Van </w:t>
      </w:r>
      <w:proofErr w:type="spellStart"/>
      <w:r w:rsidRPr="00DA7B31">
        <w:rPr>
          <w:rFonts w:cstheme="minorHAnsi"/>
          <w:sz w:val="20"/>
          <w:szCs w:val="20"/>
        </w:rPr>
        <w:t>Puyvelde</w:t>
      </w:r>
      <w:proofErr w:type="spellEnd"/>
      <w:r w:rsidRPr="00DA7B31">
        <w:rPr>
          <w:rFonts w:cstheme="minorHAnsi"/>
          <w:sz w:val="20"/>
          <w:szCs w:val="20"/>
        </w:rPr>
        <w:t xml:space="preserve"> S </w:t>
      </w:r>
      <w:r w:rsidRPr="00DA7B31">
        <w:rPr>
          <w:rFonts w:cstheme="minorHAnsi"/>
          <w:i/>
          <w:sz w:val="20"/>
          <w:szCs w:val="20"/>
        </w:rPr>
        <w:t>et al</w:t>
      </w:r>
      <w:r w:rsidRPr="00DA7B31">
        <w:rPr>
          <w:rFonts w:cstheme="minorHAnsi"/>
          <w:sz w:val="20"/>
          <w:szCs w:val="20"/>
        </w:rPr>
        <w:t xml:space="preserve"> (2012) : « The </w:t>
      </w:r>
      <w:proofErr w:type="spellStart"/>
      <w:r w:rsidRPr="00DA7B31">
        <w:rPr>
          <w:rFonts w:cstheme="minorHAnsi"/>
          <w:sz w:val="20"/>
          <w:szCs w:val="20"/>
        </w:rPr>
        <w:t>Governance</w:t>
      </w:r>
      <w:proofErr w:type="spellEnd"/>
      <w:r w:rsidRPr="00DA7B31">
        <w:rPr>
          <w:rFonts w:cstheme="minorHAnsi"/>
          <w:sz w:val="20"/>
          <w:szCs w:val="20"/>
        </w:rPr>
        <w:t xml:space="preserve"> of </w:t>
      </w:r>
      <w:proofErr w:type="spellStart"/>
      <w:r w:rsidRPr="00DA7B31">
        <w:rPr>
          <w:rFonts w:cstheme="minorHAnsi"/>
          <w:sz w:val="20"/>
          <w:szCs w:val="20"/>
        </w:rPr>
        <w:t>Nonprofit</w:t>
      </w:r>
      <w:proofErr w:type="spellEnd"/>
      <w:r w:rsidRPr="00DA7B31">
        <w:rPr>
          <w:rFonts w:cstheme="minorHAnsi"/>
          <w:sz w:val="20"/>
          <w:szCs w:val="20"/>
        </w:rPr>
        <w:t xml:space="preserve"> Organizations : </w:t>
      </w:r>
      <w:proofErr w:type="spellStart"/>
      <w:r w:rsidRPr="00DA7B31">
        <w:rPr>
          <w:rFonts w:cstheme="minorHAnsi"/>
          <w:sz w:val="20"/>
          <w:szCs w:val="20"/>
        </w:rPr>
        <w:t>integrating</w:t>
      </w:r>
      <w:proofErr w:type="spellEnd"/>
      <w:r w:rsidRPr="00DA7B31">
        <w:rPr>
          <w:rFonts w:cstheme="minorHAnsi"/>
          <w:sz w:val="20"/>
          <w:szCs w:val="20"/>
        </w:rPr>
        <w:t xml:space="preserve"> Agency Theory </w:t>
      </w:r>
      <w:proofErr w:type="spellStart"/>
      <w:r w:rsidRPr="00DA7B31">
        <w:rPr>
          <w:rFonts w:cstheme="minorHAnsi"/>
          <w:sz w:val="20"/>
          <w:szCs w:val="20"/>
        </w:rPr>
        <w:t>with</w:t>
      </w:r>
      <w:proofErr w:type="spellEnd"/>
      <w:r w:rsidRPr="00DA7B31">
        <w:rPr>
          <w:rFonts w:cstheme="minorHAnsi"/>
          <w:sz w:val="20"/>
          <w:szCs w:val="20"/>
        </w:rPr>
        <w:t xml:space="preserve"> Stakeholder and </w:t>
      </w:r>
      <w:proofErr w:type="spellStart"/>
      <w:r w:rsidRPr="00DA7B31">
        <w:rPr>
          <w:rFonts w:cstheme="minorHAnsi"/>
          <w:sz w:val="20"/>
          <w:szCs w:val="20"/>
        </w:rPr>
        <w:t>Stewardship</w:t>
      </w:r>
      <w:proofErr w:type="spellEnd"/>
      <w:r w:rsidRPr="00DA7B31">
        <w:rPr>
          <w:rFonts w:cstheme="minorHAnsi"/>
          <w:sz w:val="20"/>
          <w:szCs w:val="20"/>
        </w:rPr>
        <w:t xml:space="preserve"> </w:t>
      </w:r>
      <w:proofErr w:type="spellStart"/>
      <w:r w:rsidRPr="00DA7B31">
        <w:rPr>
          <w:rFonts w:cstheme="minorHAnsi"/>
          <w:sz w:val="20"/>
          <w:szCs w:val="20"/>
        </w:rPr>
        <w:t>Theories</w:t>
      </w:r>
      <w:proofErr w:type="spellEnd"/>
      <w:r w:rsidRPr="00DA7B31">
        <w:rPr>
          <w:rFonts w:cstheme="minorHAnsi"/>
          <w:sz w:val="20"/>
          <w:szCs w:val="20"/>
        </w:rPr>
        <w:t xml:space="preserve"> », </w:t>
      </w:r>
      <w:proofErr w:type="spellStart"/>
      <w:r w:rsidRPr="00FB4D99">
        <w:rPr>
          <w:rFonts w:cstheme="minorHAnsi"/>
          <w:i/>
          <w:iCs/>
          <w:sz w:val="20"/>
          <w:szCs w:val="20"/>
        </w:rPr>
        <w:t>Nonprofit</w:t>
      </w:r>
      <w:proofErr w:type="spellEnd"/>
      <w:r w:rsidRPr="00FB4D99">
        <w:rPr>
          <w:rFonts w:cstheme="minorHAnsi"/>
          <w:i/>
          <w:iCs/>
          <w:sz w:val="20"/>
          <w:szCs w:val="20"/>
        </w:rPr>
        <w:t xml:space="preserve"> and </w:t>
      </w:r>
      <w:proofErr w:type="spellStart"/>
      <w:r w:rsidRPr="00FB4D99">
        <w:rPr>
          <w:rFonts w:cstheme="minorHAnsi"/>
          <w:i/>
          <w:iCs/>
          <w:sz w:val="20"/>
          <w:szCs w:val="20"/>
        </w:rPr>
        <w:t>Voluntary</w:t>
      </w:r>
      <w:proofErr w:type="spellEnd"/>
      <w:r w:rsidRPr="00FB4D99">
        <w:rPr>
          <w:rFonts w:cstheme="minorHAnsi"/>
          <w:i/>
          <w:iCs/>
          <w:sz w:val="20"/>
          <w:szCs w:val="20"/>
        </w:rPr>
        <w:t xml:space="preserve"> </w:t>
      </w:r>
      <w:proofErr w:type="spellStart"/>
      <w:r w:rsidRPr="00FB4D99">
        <w:rPr>
          <w:rFonts w:cstheme="minorHAnsi"/>
          <w:i/>
          <w:iCs/>
          <w:sz w:val="20"/>
          <w:szCs w:val="20"/>
        </w:rPr>
        <w:t>Sector</w:t>
      </w:r>
      <w:proofErr w:type="spellEnd"/>
      <w:r w:rsidRPr="00FB4D99">
        <w:rPr>
          <w:rFonts w:cstheme="minorHAnsi"/>
          <w:i/>
          <w:iCs/>
          <w:sz w:val="20"/>
          <w:szCs w:val="20"/>
        </w:rPr>
        <w:t xml:space="preserve"> </w:t>
      </w:r>
      <w:proofErr w:type="spellStart"/>
      <w:r w:rsidRPr="00FB4D99">
        <w:rPr>
          <w:rFonts w:cstheme="minorHAnsi"/>
          <w:i/>
          <w:iCs/>
          <w:sz w:val="20"/>
          <w:szCs w:val="20"/>
        </w:rPr>
        <w:t>Quaterly</w:t>
      </w:r>
      <w:proofErr w:type="spellEnd"/>
      <w:r w:rsidRPr="00DA7B31">
        <w:rPr>
          <w:rFonts w:cstheme="minorHAnsi"/>
          <w:sz w:val="20"/>
          <w:szCs w:val="20"/>
        </w:rPr>
        <w:t>, vol 41, n°3, p 431-451</w:t>
      </w:r>
    </w:p>
    <w:p w14:paraId="661A82D8" w14:textId="77777777" w:rsidR="00DA7B31" w:rsidRPr="00DA7B31" w:rsidRDefault="00AC6BC0" w:rsidP="00932E08">
      <w:pPr>
        <w:suppressAutoHyphens/>
        <w:jc w:val="both"/>
        <w:rPr>
          <w:rFonts w:cstheme="minorHAnsi"/>
          <w:sz w:val="20"/>
          <w:szCs w:val="20"/>
        </w:rPr>
      </w:pPr>
      <w:r w:rsidRPr="00DA7B31">
        <w:rPr>
          <w:rFonts w:cstheme="minorHAnsi"/>
          <w:sz w:val="20"/>
          <w:szCs w:val="20"/>
        </w:rPr>
        <w:t xml:space="preserve">Van </w:t>
      </w:r>
      <w:proofErr w:type="spellStart"/>
      <w:r w:rsidRPr="00DA7B31">
        <w:rPr>
          <w:rFonts w:cstheme="minorHAnsi"/>
          <w:sz w:val="20"/>
          <w:szCs w:val="20"/>
        </w:rPr>
        <w:t>Slyke</w:t>
      </w:r>
      <w:proofErr w:type="spellEnd"/>
      <w:r w:rsidRPr="00DA7B31">
        <w:rPr>
          <w:rFonts w:cstheme="minorHAnsi"/>
          <w:sz w:val="20"/>
          <w:szCs w:val="20"/>
        </w:rPr>
        <w:t xml:space="preserve"> D.M (2007) :</w:t>
      </w:r>
      <w:r w:rsidRPr="00DA7B31">
        <w:rPr>
          <w:rFonts w:cstheme="minorHAnsi"/>
          <w:sz w:val="20"/>
          <w:szCs w:val="20"/>
        </w:rPr>
        <w:tab/>
        <w:t xml:space="preserve">« Agents or Stewards : </w:t>
      </w:r>
      <w:proofErr w:type="spellStart"/>
      <w:r w:rsidRPr="00DA7B31">
        <w:rPr>
          <w:rFonts w:cstheme="minorHAnsi"/>
          <w:sz w:val="20"/>
          <w:szCs w:val="20"/>
        </w:rPr>
        <w:t>using</w:t>
      </w:r>
      <w:proofErr w:type="spellEnd"/>
      <w:r w:rsidRPr="00DA7B31">
        <w:rPr>
          <w:rFonts w:cstheme="minorHAnsi"/>
          <w:sz w:val="20"/>
          <w:szCs w:val="20"/>
        </w:rPr>
        <w:t xml:space="preserve"> </w:t>
      </w:r>
      <w:proofErr w:type="spellStart"/>
      <w:r w:rsidRPr="00DA7B31">
        <w:rPr>
          <w:rFonts w:cstheme="minorHAnsi"/>
          <w:sz w:val="20"/>
          <w:szCs w:val="20"/>
        </w:rPr>
        <w:t>theory</w:t>
      </w:r>
      <w:proofErr w:type="spellEnd"/>
      <w:r w:rsidRPr="00DA7B31">
        <w:rPr>
          <w:rFonts w:cstheme="minorHAnsi"/>
          <w:sz w:val="20"/>
          <w:szCs w:val="20"/>
        </w:rPr>
        <w:t xml:space="preserve"> to </w:t>
      </w:r>
      <w:proofErr w:type="spellStart"/>
      <w:r w:rsidRPr="00DA7B31">
        <w:rPr>
          <w:rFonts w:cstheme="minorHAnsi"/>
          <w:sz w:val="20"/>
          <w:szCs w:val="20"/>
        </w:rPr>
        <w:t>unde</w:t>
      </w:r>
      <w:r w:rsidR="00DA7B31" w:rsidRPr="00DA7B31">
        <w:rPr>
          <w:rFonts w:cstheme="minorHAnsi"/>
          <w:sz w:val="20"/>
          <w:szCs w:val="20"/>
        </w:rPr>
        <w:t>Propper</w:t>
      </w:r>
      <w:proofErr w:type="spellEnd"/>
      <w:r w:rsidR="00DA7B31" w:rsidRPr="00DA7B31">
        <w:rPr>
          <w:rFonts w:cstheme="minorHAnsi"/>
          <w:sz w:val="20"/>
          <w:szCs w:val="20"/>
        </w:rPr>
        <w:t xml:space="preserve"> C et Wilson B (2003) : « The use and </w:t>
      </w:r>
      <w:proofErr w:type="spellStart"/>
      <w:r w:rsidR="00DA7B31" w:rsidRPr="00DA7B31">
        <w:rPr>
          <w:rFonts w:cstheme="minorHAnsi"/>
          <w:sz w:val="20"/>
          <w:szCs w:val="20"/>
        </w:rPr>
        <w:t>usefulness</w:t>
      </w:r>
      <w:proofErr w:type="spellEnd"/>
      <w:r w:rsidR="00DA7B31" w:rsidRPr="00DA7B31">
        <w:rPr>
          <w:rFonts w:cstheme="minorHAnsi"/>
          <w:sz w:val="20"/>
          <w:szCs w:val="20"/>
        </w:rPr>
        <w:t xml:space="preserve"> of performance </w:t>
      </w:r>
      <w:proofErr w:type="spellStart"/>
      <w:r w:rsidR="00DA7B31" w:rsidRPr="00DA7B31">
        <w:rPr>
          <w:rFonts w:cstheme="minorHAnsi"/>
          <w:sz w:val="20"/>
          <w:szCs w:val="20"/>
        </w:rPr>
        <w:t>measures</w:t>
      </w:r>
      <w:proofErr w:type="spellEnd"/>
      <w:r w:rsidR="00DA7B31" w:rsidRPr="00DA7B31">
        <w:rPr>
          <w:rFonts w:cstheme="minorHAnsi"/>
          <w:sz w:val="20"/>
          <w:szCs w:val="20"/>
        </w:rPr>
        <w:t xml:space="preserve"> in the public </w:t>
      </w:r>
      <w:proofErr w:type="spellStart"/>
      <w:r w:rsidR="00DA7B31" w:rsidRPr="00DA7B31">
        <w:rPr>
          <w:rFonts w:cstheme="minorHAnsi"/>
          <w:sz w:val="20"/>
          <w:szCs w:val="20"/>
        </w:rPr>
        <w:t>sector</w:t>
      </w:r>
      <w:proofErr w:type="spellEnd"/>
      <w:r w:rsidR="00DA7B31" w:rsidRPr="00DA7B31">
        <w:rPr>
          <w:rFonts w:cstheme="minorHAnsi"/>
          <w:sz w:val="20"/>
          <w:szCs w:val="20"/>
        </w:rPr>
        <w:t xml:space="preserve"> », </w:t>
      </w:r>
      <w:r w:rsidR="00DA7B31" w:rsidRPr="00FB4D99">
        <w:rPr>
          <w:rFonts w:cstheme="minorHAnsi"/>
          <w:i/>
          <w:iCs/>
          <w:sz w:val="20"/>
          <w:szCs w:val="20"/>
        </w:rPr>
        <w:t xml:space="preserve">Oxford </w:t>
      </w:r>
      <w:proofErr w:type="spellStart"/>
      <w:r w:rsidR="00DA7B31" w:rsidRPr="00FB4D99">
        <w:rPr>
          <w:rFonts w:cstheme="minorHAnsi"/>
          <w:i/>
          <w:iCs/>
          <w:sz w:val="20"/>
          <w:szCs w:val="20"/>
        </w:rPr>
        <w:t>view</w:t>
      </w:r>
      <w:proofErr w:type="spellEnd"/>
      <w:r w:rsidR="00DA7B31" w:rsidRPr="00FB4D99">
        <w:rPr>
          <w:rFonts w:cstheme="minorHAnsi"/>
          <w:i/>
          <w:iCs/>
          <w:sz w:val="20"/>
          <w:szCs w:val="20"/>
        </w:rPr>
        <w:t xml:space="preserve"> of </w:t>
      </w:r>
      <w:proofErr w:type="spellStart"/>
      <w:r w:rsidR="00DA7B31" w:rsidRPr="00FB4D99">
        <w:rPr>
          <w:rFonts w:cstheme="minorHAnsi"/>
          <w:i/>
          <w:iCs/>
          <w:sz w:val="20"/>
          <w:szCs w:val="20"/>
        </w:rPr>
        <w:t>economic</w:t>
      </w:r>
      <w:proofErr w:type="spellEnd"/>
      <w:r w:rsidR="00DA7B31" w:rsidRPr="00FB4D99">
        <w:rPr>
          <w:rFonts w:cstheme="minorHAnsi"/>
          <w:i/>
          <w:iCs/>
          <w:sz w:val="20"/>
          <w:szCs w:val="20"/>
        </w:rPr>
        <w:t xml:space="preserve"> </w:t>
      </w:r>
      <w:proofErr w:type="spellStart"/>
      <w:r w:rsidR="00DA7B31" w:rsidRPr="00FB4D99">
        <w:rPr>
          <w:rFonts w:cstheme="minorHAnsi"/>
          <w:i/>
          <w:iCs/>
          <w:sz w:val="20"/>
          <w:szCs w:val="20"/>
        </w:rPr>
        <w:t>policy</w:t>
      </w:r>
      <w:proofErr w:type="spellEnd"/>
      <w:r w:rsidR="00DA7B31" w:rsidRPr="00DA7B31">
        <w:rPr>
          <w:rFonts w:cstheme="minorHAnsi"/>
          <w:sz w:val="20"/>
          <w:szCs w:val="20"/>
        </w:rPr>
        <w:t xml:space="preserve">, vol 19, n°2, p 250-267 </w:t>
      </w:r>
    </w:p>
    <w:p w14:paraId="188980AC" w14:textId="77777777"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Walace</w:t>
      </w:r>
      <w:proofErr w:type="spellEnd"/>
      <w:r w:rsidRPr="00DA7B31">
        <w:rPr>
          <w:rFonts w:cstheme="minorHAnsi"/>
          <w:sz w:val="20"/>
          <w:szCs w:val="20"/>
        </w:rPr>
        <w:t xml:space="preserve"> W.A (1987) : « </w:t>
      </w:r>
      <w:proofErr w:type="spellStart"/>
      <w:r w:rsidRPr="00DA7B31">
        <w:rPr>
          <w:rFonts w:cstheme="minorHAnsi"/>
          <w:sz w:val="20"/>
          <w:szCs w:val="20"/>
        </w:rPr>
        <w:t>Agenty</w:t>
      </w:r>
      <w:proofErr w:type="spellEnd"/>
      <w:r w:rsidRPr="00DA7B31">
        <w:rPr>
          <w:rFonts w:cstheme="minorHAnsi"/>
          <w:sz w:val="20"/>
          <w:szCs w:val="20"/>
        </w:rPr>
        <w:t xml:space="preserve"> </w:t>
      </w:r>
      <w:proofErr w:type="spellStart"/>
      <w:r w:rsidRPr="00DA7B31">
        <w:rPr>
          <w:rFonts w:cstheme="minorHAnsi"/>
          <w:sz w:val="20"/>
          <w:szCs w:val="20"/>
        </w:rPr>
        <w:t>theory</w:t>
      </w:r>
      <w:proofErr w:type="spellEnd"/>
      <w:r w:rsidRPr="00DA7B31">
        <w:rPr>
          <w:rFonts w:cstheme="minorHAnsi"/>
          <w:sz w:val="20"/>
          <w:szCs w:val="20"/>
        </w:rPr>
        <w:t xml:space="preserve"> and </w:t>
      </w:r>
      <w:proofErr w:type="spellStart"/>
      <w:r w:rsidRPr="00DA7B31">
        <w:rPr>
          <w:rFonts w:cstheme="minorHAnsi"/>
          <w:sz w:val="20"/>
          <w:szCs w:val="20"/>
        </w:rPr>
        <w:t>governmental</w:t>
      </w:r>
      <w:proofErr w:type="spellEnd"/>
      <w:r w:rsidRPr="00DA7B31">
        <w:rPr>
          <w:rFonts w:cstheme="minorHAnsi"/>
          <w:sz w:val="20"/>
          <w:szCs w:val="20"/>
        </w:rPr>
        <w:t xml:space="preserve"> and </w:t>
      </w:r>
      <w:proofErr w:type="spellStart"/>
      <w:r w:rsidRPr="00DA7B31">
        <w:rPr>
          <w:rFonts w:cstheme="minorHAnsi"/>
          <w:sz w:val="20"/>
          <w:szCs w:val="20"/>
        </w:rPr>
        <w:t>nonprofit</w:t>
      </w:r>
      <w:proofErr w:type="spellEnd"/>
      <w:r w:rsidRPr="00DA7B31">
        <w:rPr>
          <w:rFonts w:cstheme="minorHAnsi"/>
          <w:sz w:val="20"/>
          <w:szCs w:val="20"/>
        </w:rPr>
        <w:t xml:space="preserve"> </w:t>
      </w:r>
      <w:proofErr w:type="spellStart"/>
      <w:r w:rsidRPr="00DA7B31">
        <w:rPr>
          <w:rFonts w:cstheme="minorHAnsi"/>
          <w:sz w:val="20"/>
          <w:szCs w:val="20"/>
        </w:rPr>
        <w:t>sector</w:t>
      </w:r>
      <w:proofErr w:type="spellEnd"/>
      <w:r w:rsidRPr="00DA7B31">
        <w:rPr>
          <w:rFonts w:cstheme="minorHAnsi"/>
          <w:sz w:val="20"/>
          <w:szCs w:val="20"/>
        </w:rPr>
        <w:t xml:space="preserve"> </w:t>
      </w:r>
      <w:proofErr w:type="spellStart"/>
      <w:r w:rsidRPr="00DA7B31">
        <w:rPr>
          <w:rFonts w:cstheme="minorHAnsi"/>
          <w:sz w:val="20"/>
          <w:szCs w:val="20"/>
        </w:rPr>
        <w:t>research</w:t>
      </w:r>
      <w:proofErr w:type="spellEnd"/>
      <w:r w:rsidRPr="00DA7B31">
        <w:rPr>
          <w:rFonts w:cstheme="minorHAnsi"/>
          <w:sz w:val="20"/>
          <w:szCs w:val="20"/>
        </w:rPr>
        <w:t xml:space="preserve"> », </w:t>
      </w:r>
      <w:proofErr w:type="spellStart"/>
      <w:r w:rsidRPr="00FB4D99">
        <w:rPr>
          <w:rFonts w:cstheme="minorHAnsi"/>
          <w:i/>
          <w:iCs/>
          <w:sz w:val="20"/>
          <w:szCs w:val="20"/>
        </w:rPr>
        <w:t>Research</w:t>
      </w:r>
      <w:proofErr w:type="spellEnd"/>
      <w:r w:rsidRPr="00FB4D99">
        <w:rPr>
          <w:rFonts w:cstheme="minorHAnsi"/>
          <w:i/>
          <w:iCs/>
          <w:sz w:val="20"/>
          <w:szCs w:val="20"/>
        </w:rPr>
        <w:t xml:space="preserve"> in </w:t>
      </w:r>
      <w:proofErr w:type="spellStart"/>
      <w:r w:rsidRPr="00FB4D99">
        <w:rPr>
          <w:rFonts w:cstheme="minorHAnsi"/>
          <w:i/>
          <w:iCs/>
          <w:sz w:val="20"/>
          <w:szCs w:val="20"/>
        </w:rPr>
        <w:t>Governmental</w:t>
      </w:r>
      <w:proofErr w:type="spellEnd"/>
      <w:r w:rsidRPr="00FB4D99">
        <w:rPr>
          <w:rFonts w:cstheme="minorHAnsi"/>
          <w:i/>
          <w:iCs/>
          <w:sz w:val="20"/>
          <w:szCs w:val="20"/>
        </w:rPr>
        <w:t xml:space="preserve"> and </w:t>
      </w:r>
      <w:proofErr w:type="spellStart"/>
      <w:r w:rsidRPr="00FB4D99">
        <w:rPr>
          <w:rFonts w:cstheme="minorHAnsi"/>
          <w:i/>
          <w:iCs/>
          <w:sz w:val="20"/>
          <w:szCs w:val="20"/>
        </w:rPr>
        <w:t>Nonprofit</w:t>
      </w:r>
      <w:proofErr w:type="spellEnd"/>
      <w:r w:rsidRPr="00FB4D99">
        <w:rPr>
          <w:rFonts w:cstheme="minorHAnsi"/>
          <w:i/>
          <w:iCs/>
          <w:sz w:val="20"/>
          <w:szCs w:val="20"/>
        </w:rPr>
        <w:t xml:space="preserve"> </w:t>
      </w:r>
      <w:proofErr w:type="spellStart"/>
      <w:r w:rsidRPr="00FB4D99">
        <w:rPr>
          <w:rFonts w:cstheme="minorHAnsi"/>
          <w:i/>
          <w:iCs/>
          <w:sz w:val="20"/>
          <w:szCs w:val="20"/>
        </w:rPr>
        <w:t>Accounting</w:t>
      </w:r>
      <w:proofErr w:type="spellEnd"/>
      <w:r w:rsidRPr="00DA7B31">
        <w:rPr>
          <w:rFonts w:cstheme="minorHAnsi"/>
          <w:sz w:val="20"/>
          <w:szCs w:val="20"/>
        </w:rPr>
        <w:t>, vol 3/B, p 51-70</w:t>
      </w:r>
    </w:p>
    <w:p w14:paraId="6E1A147B"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Walsh J.P et Seward J.K (1990) : « On the </w:t>
      </w:r>
      <w:proofErr w:type="spellStart"/>
      <w:r w:rsidRPr="00DA7B31">
        <w:rPr>
          <w:rFonts w:cstheme="minorHAnsi"/>
          <w:sz w:val="20"/>
          <w:szCs w:val="20"/>
        </w:rPr>
        <w:t>efficiency</w:t>
      </w:r>
      <w:proofErr w:type="spellEnd"/>
      <w:r w:rsidRPr="00DA7B31">
        <w:rPr>
          <w:rFonts w:cstheme="minorHAnsi"/>
          <w:sz w:val="20"/>
          <w:szCs w:val="20"/>
        </w:rPr>
        <w:t xml:space="preserve"> of </w:t>
      </w:r>
      <w:proofErr w:type="spellStart"/>
      <w:r w:rsidRPr="00DA7B31">
        <w:rPr>
          <w:rFonts w:cstheme="minorHAnsi"/>
          <w:sz w:val="20"/>
          <w:szCs w:val="20"/>
        </w:rPr>
        <w:t>internal</w:t>
      </w:r>
      <w:proofErr w:type="spellEnd"/>
      <w:r w:rsidRPr="00DA7B31">
        <w:rPr>
          <w:rFonts w:cstheme="minorHAnsi"/>
          <w:sz w:val="20"/>
          <w:szCs w:val="20"/>
        </w:rPr>
        <w:t xml:space="preserve"> and </w:t>
      </w:r>
      <w:proofErr w:type="spellStart"/>
      <w:r w:rsidRPr="00DA7B31">
        <w:rPr>
          <w:rFonts w:cstheme="minorHAnsi"/>
          <w:sz w:val="20"/>
          <w:szCs w:val="20"/>
        </w:rPr>
        <w:t>external</w:t>
      </w:r>
      <w:proofErr w:type="spellEnd"/>
      <w:r w:rsidRPr="00DA7B31">
        <w:rPr>
          <w:rFonts w:cstheme="minorHAnsi"/>
          <w:sz w:val="20"/>
          <w:szCs w:val="20"/>
        </w:rPr>
        <w:t xml:space="preserve"> </w:t>
      </w:r>
      <w:proofErr w:type="spellStart"/>
      <w:r w:rsidRPr="00DA7B31">
        <w:rPr>
          <w:rFonts w:cstheme="minorHAnsi"/>
          <w:sz w:val="20"/>
          <w:szCs w:val="20"/>
        </w:rPr>
        <w:t>corporate</w:t>
      </w:r>
      <w:proofErr w:type="spellEnd"/>
      <w:r w:rsidRPr="00DA7B31">
        <w:rPr>
          <w:rFonts w:cstheme="minorHAnsi"/>
          <w:sz w:val="20"/>
          <w:szCs w:val="20"/>
        </w:rPr>
        <w:t xml:space="preserve"> control </w:t>
      </w:r>
      <w:proofErr w:type="spellStart"/>
      <w:r w:rsidRPr="00DA7B31">
        <w:rPr>
          <w:rFonts w:cstheme="minorHAnsi"/>
          <w:sz w:val="20"/>
          <w:szCs w:val="20"/>
        </w:rPr>
        <w:t>mechanisms</w:t>
      </w:r>
      <w:proofErr w:type="spellEnd"/>
      <w:r w:rsidRPr="00DA7B31">
        <w:rPr>
          <w:rFonts w:cstheme="minorHAnsi"/>
          <w:sz w:val="20"/>
          <w:szCs w:val="20"/>
        </w:rPr>
        <w:t xml:space="preserve"> », </w:t>
      </w:r>
      <w:r w:rsidRPr="00FB4D99">
        <w:rPr>
          <w:rFonts w:cstheme="minorHAnsi"/>
          <w:i/>
          <w:iCs/>
          <w:sz w:val="20"/>
          <w:szCs w:val="20"/>
        </w:rPr>
        <w:t xml:space="preserve">Journal of Management </w:t>
      </w:r>
      <w:proofErr w:type="spellStart"/>
      <w:r w:rsidRPr="00FB4D99">
        <w:rPr>
          <w:rFonts w:cstheme="minorHAnsi"/>
          <w:i/>
          <w:iCs/>
          <w:sz w:val="20"/>
          <w:szCs w:val="20"/>
        </w:rPr>
        <w:t>Review</w:t>
      </w:r>
      <w:proofErr w:type="spellEnd"/>
      <w:r w:rsidRPr="00DA7B31">
        <w:rPr>
          <w:rFonts w:cstheme="minorHAnsi"/>
          <w:sz w:val="20"/>
          <w:szCs w:val="20"/>
        </w:rPr>
        <w:t>, n°15, p 421-458</w:t>
      </w:r>
    </w:p>
    <w:p w14:paraId="7990B641" w14:textId="6ADBA305" w:rsidR="00AC6BC0" w:rsidRPr="00DA7B31" w:rsidRDefault="00AC6BC0" w:rsidP="00932E08">
      <w:pPr>
        <w:suppressAutoHyphens/>
        <w:jc w:val="both"/>
        <w:rPr>
          <w:rFonts w:cstheme="minorHAnsi"/>
          <w:sz w:val="20"/>
          <w:szCs w:val="20"/>
        </w:rPr>
      </w:pPr>
      <w:proofErr w:type="spellStart"/>
      <w:r w:rsidRPr="00DA7B31">
        <w:rPr>
          <w:rFonts w:cstheme="minorHAnsi"/>
          <w:sz w:val="20"/>
          <w:szCs w:val="20"/>
        </w:rPr>
        <w:t>Zardkoohi</w:t>
      </w:r>
      <w:proofErr w:type="spellEnd"/>
      <w:r w:rsidRPr="00DA7B31">
        <w:rPr>
          <w:rFonts w:cstheme="minorHAnsi"/>
          <w:sz w:val="20"/>
          <w:szCs w:val="20"/>
        </w:rPr>
        <w:t xml:space="preserve"> A </w:t>
      </w:r>
      <w:r w:rsidRPr="00DA7B31">
        <w:rPr>
          <w:rFonts w:cstheme="minorHAnsi"/>
          <w:i/>
          <w:sz w:val="20"/>
          <w:szCs w:val="20"/>
        </w:rPr>
        <w:t>et al</w:t>
      </w:r>
      <w:r w:rsidRPr="00DA7B31">
        <w:rPr>
          <w:rFonts w:cstheme="minorHAnsi"/>
          <w:sz w:val="20"/>
          <w:szCs w:val="20"/>
        </w:rPr>
        <w:t xml:space="preserve"> (2017) : « </w:t>
      </w:r>
      <w:proofErr w:type="spellStart"/>
      <w:r w:rsidRPr="00DA7B31">
        <w:rPr>
          <w:rFonts w:cstheme="minorHAnsi"/>
          <w:sz w:val="20"/>
          <w:szCs w:val="20"/>
        </w:rPr>
        <w:t>Conflict</w:t>
      </w:r>
      <w:proofErr w:type="spellEnd"/>
      <w:r w:rsidRPr="00DA7B31">
        <w:rPr>
          <w:rFonts w:cstheme="minorHAnsi"/>
          <w:sz w:val="20"/>
          <w:szCs w:val="20"/>
        </w:rPr>
        <w:t xml:space="preserve"> </w:t>
      </w:r>
      <w:r w:rsidR="0054638C" w:rsidRPr="00DA7B31">
        <w:rPr>
          <w:rFonts w:cstheme="minorHAnsi"/>
          <w:sz w:val="20"/>
          <w:szCs w:val="20"/>
        </w:rPr>
        <w:t>a</w:t>
      </w:r>
      <w:r w:rsidRPr="00DA7B31">
        <w:rPr>
          <w:rFonts w:cstheme="minorHAnsi"/>
          <w:sz w:val="20"/>
          <w:szCs w:val="20"/>
        </w:rPr>
        <w:t xml:space="preserve">nd Confluence : The </w:t>
      </w:r>
      <w:proofErr w:type="spellStart"/>
      <w:r w:rsidRPr="00DA7B31">
        <w:rPr>
          <w:rFonts w:cstheme="minorHAnsi"/>
          <w:sz w:val="20"/>
          <w:szCs w:val="20"/>
        </w:rPr>
        <w:t>multidimensionality</w:t>
      </w:r>
      <w:proofErr w:type="spellEnd"/>
      <w:r w:rsidRPr="00DA7B31">
        <w:rPr>
          <w:rFonts w:cstheme="minorHAnsi"/>
          <w:sz w:val="20"/>
          <w:szCs w:val="20"/>
        </w:rPr>
        <w:t xml:space="preserve"> of </w:t>
      </w:r>
      <w:proofErr w:type="spellStart"/>
      <w:r w:rsidRPr="00DA7B31">
        <w:rPr>
          <w:rFonts w:cstheme="minorHAnsi"/>
          <w:sz w:val="20"/>
          <w:szCs w:val="20"/>
        </w:rPr>
        <w:t>opportunism</w:t>
      </w:r>
      <w:proofErr w:type="spellEnd"/>
      <w:r w:rsidRPr="00DA7B31">
        <w:rPr>
          <w:rFonts w:cstheme="minorHAnsi"/>
          <w:sz w:val="20"/>
          <w:szCs w:val="20"/>
        </w:rPr>
        <w:t xml:space="preserve"> in principal-agent </w:t>
      </w:r>
      <w:proofErr w:type="spellStart"/>
      <w:r w:rsidRPr="00DA7B31">
        <w:rPr>
          <w:rFonts w:cstheme="minorHAnsi"/>
          <w:sz w:val="20"/>
          <w:szCs w:val="20"/>
        </w:rPr>
        <w:t>relationship</w:t>
      </w:r>
      <w:proofErr w:type="spellEnd"/>
      <w:r w:rsidRPr="00DA7B31">
        <w:rPr>
          <w:rFonts w:cstheme="minorHAnsi"/>
          <w:sz w:val="20"/>
          <w:szCs w:val="20"/>
        </w:rPr>
        <w:t xml:space="preserve"> », </w:t>
      </w:r>
      <w:r w:rsidRPr="00FB4D99">
        <w:rPr>
          <w:rFonts w:cstheme="minorHAnsi"/>
          <w:i/>
          <w:iCs/>
          <w:sz w:val="20"/>
          <w:szCs w:val="20"/>
        </w:rPr>
        <w:t xml:space="preserve">Journal of Business </w:t>
      </w:r>
      <w:proofErr w:type="spellStart"/>
      <w:r w:rsidRPr="00FB4D99">
        <w:rPr>
          <w:rFonts w:cstheme="minorHAnsi"/>
          <w:i/>
          <w:iCs/>
          <w:sz w:val="20"/>
          <w:szCs w:val="20"/>
        </w:rPr>
        <w:t>Ethics</w:t>
      </w:r>
      <w:proofErr w:type="spellEnd"/>
      <w:r w:rsidRPr="00DA7B31">
        <w:rPr>
          <w:rFonts w:cstheme="minorHAnsi"/>
          <w:sz w:val="20"/>
          <w:szCs w:val="20"/>
        </w:rPr>
        <w:t>, n°146, p 405-417</w:t>
      </w:r>
    </w:p>
    <w:p w14:paraId="3FACDA51" w14:textId="77777777" w:rsidR="00AC6BC0" w:rsidRPr="00DA7B31" w:rsidRDefault="00AC6BC0" w:rsidP="00932E08">
      <w:pPr>
        <w:suppressAutoHyphens/>
        <w:jc w:val="both"/>
        <w:rPr>
          <w:rFonts w:cstheme="minorHAnsi"/>
          <w:sz w:val="20"/>
          <w:szCs w:val="20"/>
        </w:rPr>
      </w:pPr>
    </w:p>
    <w:p w14:paraId="65403542" w14:textId="3F7F3D93" w:rsidR="00AC6BC0" w:rsidRDefault="00267634" w:rsidP="00620E10">
      <w:pPr>
        <w:suppressAutoHyphens/>
        <w:spacing w:before="360" w:after="240"/>
        <w:jc w:val="both"/>
        <w:rPr>
          <w:rFonts w:cstheme="minorHAnsi"/>
          <w:b/>
          <w:bCs/>
          <w:sz w:val="24"/>
          <w:szCs w:val="24"/>
        </w:rPr>
      </w:pPr>
      <w:r>
        <w:rPr>
          <w:rFonts w:cstheme="minorHAnsi"/>
          <w:b/>
          <w:bCs/>
          <w:sz w:val="24"/>
          <w:szCs w:val="24"/>
        </w:rPr>
        <w:t>Ouvrages</w:t>
      </w:r>
      <w:r w:rsidR="00AC6BC0" w:rsidRPr="00267634">
        <w:rPr>
          <w:rFonts w:cstheme="minorHAnsi"/>
          <w:b/>
          <w:bCs/>
          <w:sz w:val="24"/>
          <w:szCs w:val="24"/>
        </w:rPr>
        <w:t> :</w:t>
      </w:r>
    </w:p>
    <w:p w14:paraId="6F1560DA" w14:textId="29CE1CD8" w:rsidR="00FC1FCE" w:rsidRDefault="00FC1FCE" w:rsidP="00932E08">
      <w:pPr>
        <w:suppressAutoHyphens/>
        <w:jc w:val="both"/>
        <w:rPr>
          <w:rFonts w:cstheme="minorHAnsi"/>
          <w:sz w:val="20"/>
          <w:szCs w:val="20"/>
        </w:rPr>
      </w:pPr>
      <w:proofErr w:type="spellStart"/>
      <w:r w:rsidRPr="00DA7B31">
        <w:rPr>
          <w:rFonts w:cstheme="minorHAnsi"/>
          <w:sz w:val="20"/>
          <w:szCs w:val="20"/>
        </w:rPr>
        <w:lastRenderedPageBreak/>
        <w:t>Barzelay</w:t>
      </w:r>
      <w:proofErr w:type="spellEnd"/>
      <w:r w:rsidRPr="00DA7B31">
        <w:rPr>
          <w:rFonts w:cstheme="minorHAnsi"/>
          <w:sz w:val="20"/>
          <w:szCs w:val="20"/>
        </w:rPr>
        <w:t xml:space="preserve"> (1996) : </w:t>
      </w:r>
      <w:r w:rsidRPr="00FC1FCE">
        <w:rPr>
          <w:rFonts w:cstheme="minorHAnsi"/>
          <w:iCs/>
          <w:sz w:val="20"/>
          <w:szCs w:val="20"/>
        </w:rPr>
        <w:t>« </w:t>
      </w:r>
      <w:r w:rsidRPr="00DA78A3">
        <w:rPr>
          <w:rStyle w:val="Accentuation"/>
          <w:rFonts w:cstheme="minorHAnsi"/>
          <w:i w:val="0"/>
          <w:sz w:val="20"/>
          <w:szCs w:val="20"/>
        </w:rPr>
        <w:t xml:space="preserve">Performance </w:t>
      </w:r>
      <w:proofErr w:type="spellStart"/>
      <w:r w:rsidRPr="00DA78A3">
        <w:rPr>
          <w:rStyle w:val="Accentuation"/>
          <w:rFonts w:cstheme="minorHAnsi"/>
          <w:i w:val="0"/>
          <w:sz w:val="20"/>
          <w:szCs w:val="20"/>
        </w:rPr>
        <w:t>auditing</w:t>
      </w:r>
      <w:proofErr w:type="spellEnd"/>
      <w:r w:rsidRPr="00DA78A3">
        <w:rPr>
          <w:rStyle w:val="Accentuation"/>
          <w:rFonts w:cstheme="minorHAnsi"/>
          <w:i w:val="0"/>
          <w:sz w:val="20"/>
          <w:szCs w:val="20"/>
        </w:rPr>
        <w:t xml:space="preserve"> and the new public management : </w:t>
      </w:r>
      <w:proofErr w:type="spellStart"/>
      <w:r w:rsidRPr="00DA78A3">
        <w:rPr>
          <w:rStyle w:val="Accentuation"/>
          <w:rFonts w:cstheme="minorHAnsi"/>
          <w:i w:val="0"/>
          <w:sz w:val="20"/>
          <w:szCs w:val="20"/>
        </w:rPr>
        <w:t>changing</w:t>
      </w:r>
      <w:proofErr w:type="spellEnd"/>
      <w:r w:rsidRPr="00DA78A3">
        <w:rPr>
          <w:rStyle w:val="Accentuation"/>
          <w:rFonts w:cstheme="minorHAnsi"/>
          <w:i w:val="0"/>
          <w:sz w:val="20"/>
          <w:szCs w:val="20"/>
        </w:rPr>
        <w:t xml:space="preserve"> </w:t>
      </w:r>
      <w:proofErr w:type="spellStart"/>
      <w:r w:rsidRPr="00DA78A3">
        <w:rPr>
          <w:rStyle w:val="Accentuation"/>
          <w:rFonts w:cstheme="minorHAnsi"/>
          <w:i w:val="0"/>
          <w:sz w:val="20"/>
          <w:szCs w:val="20"/>
        </w:rPr>
        <w:t>roles</w:t>
      </w:r>
      <w:proofErr w:type="spellEnd"/>
      <w:r w:rsidRPr="00DA78A3">
        <w:rPr>
          <w:rStyle w:val="Accentuation"/>
          <w:rFonts w:cstheme="minorHAnsi"/>
          <w:i w:val="0"/>
          <w:sz w:val="20"/>
          <w:szCs w:val="20"/>
        </w:rPr>
        <w:t xml:space="preserve"> and </w:t>
      </w:r>
      <w:proofErr w:type="spellStart"/>
      <w:r w:rsidRPr="00DA78A3">
        <w:rPr>
          <w:rStyle w:val="Accentuation"/>
          <w:rFonts w:cstheme="minorHAnsi"/>
          <w:i w:val="0"/>
          <w:sz w:val="20"/>
          <w:szCs w:val="20"/>
        </w:rPr>
        <w:t>strategies</w:t>
      </w:r>
      <w:proofErr w:type="spellEnd"/>
      <w:r w:rsidRPr="00DA78A3">
        <w:rPr>
          <w:rStyle w:val="Accentuation"/>
          <w:rFonts w:cstheme="minorHAnsi"/>
          <w:i w:val="0"/>
          <w:sz w:val="20"/>
          <w:szCs w:val="20"/>
        </w:rPr>
        <w:t xml:space="preserve"> of central audit institutions</w:t>
      </w:r>
      <w:r w:rsidRPr="00FC1FCE">
        <w:rPr>
          <w:rStyle w:val="Accentuation"/>
          <w:rFonts w:cstheme="minorHAnsi"/>
          <w:iCs w:val="0"/>
          <w:sz w:val="20"/>
          <w:szCs w:val="20"/>
        </w:rPr>
        <w:t> »,</w:t>
      </w:r>
      <w:r>
        <w:rPr>
          <w:rStyle w:val="Accentuation"/>
          <w:rFonts w:cstheme="minorHAnsi"/>
          <w:sz w:val="20"/>
          <w:szCs w:val="20"/>
        </w:rPr>
        <w:t xml:space="preserve"> in </w:t>
      </w:r>
      <w:r w:rsidRPr="00FC1FCE">
        <w:rPr>
          <w:rFonts w:cstheme="minorHAnsi"/>
          <w:i/>
          <w:iCs/>
          <w:sz w:val="20"/>
          <w:szCs w:val="20"/>
        </w:rPr>
        <w:t xml:space="preserve">Performance </w:t>
      </w:r>
      <w:proofErr w:type="spellStart"/>
      <w:r w:rsidRPr="00FC1FCE">
        <w:rPr>
          <w:rFonts w:cstheme="minorHAnsi"/>
          <w:i/>
          <w:iCs/>
          <w:sz w:val="20"/>
          <w:szCs w:val="20"/>
        </w:rPr>
        <w:t>Auditing</w:t>
      </w:r>
      <w:proofErr w:type="spellEnd"/>
      <w:r w:rsidRPr="00FC1FCE">
        <w:rPr>
          <w:rFonts w:cstheme="minorHAnsi"/>
          <w:i/>
          <w:iCs/>
          <w:sz w:val="20"/>
          <w:szCs w:val="20"/>
        </w:rPr>
        <w:t xml:space="preserve"> and the Modernisation of </w:t>
      </w:r>
      <w:proofErr w:type="spellStart"/>
      <w:r w:rsidRPr="00FC1FCE">
        <w:rPr>
          <w:rFonts w:cstheme="minorHAnsi"/>
          <w:i/>
          <w:iCs/>
          <w:sz w:val="20"/>
          <w:szCs w:val="20"/>
        </w:rPr>
        <w:t>Government</w:t>
      </w:r>
      <w:proofErr w:type="spellEnd"/>
      <w:r w:rsidRPr="00FC1FCE">
        <w:rPr>
          <w:rFonts w:cstheme="minorHAnsi"/>
          <w:i/>
          <w:iCs/>
          <w:sz w:val="20"/>
          <w:szCs w:val="20"/>
        </w:rPr>
        <w:t>.</w:t>
      </w:r>
      <w:r w:rsidRPr="00DA7B31">
        <w:rPr>
          <w:rFonts w:cstheme="minorHAnsi"/>
          <w:sz w:val="20"/>
          <w:szCs w:val="20"/>
        </w:rPr>
        <w:t xml:space="preserve"> OECD, Paris, </w:t>
      </w:r>
      <w:r>
        <w:rPr>
          <w:rFonts w:cstheme="minorHAnsi"/>
          <w:sz w:val="20"/>
          <w:szCs w:val="20"/>
        </w:rPr>
        <w:t>France</w:t>
      </w:r>
    </w:p>
    <w:p w14:paraId="660CDDDF" w14:textId="63354BF5" w:rsidR="00FC1FCE" w:rsidRPr="00DA7B31" w:rsidRDefault="00FC1FCE" w:rsidP="00932E08">
      <w:pPr>
        <w:suppressAutoHyphens/>
        <w:jc w:val="both"/>
        <w:rPr>
          <w:rFonts w:cstheme="minorHAnsi"/>
          <w:sz w:val="20"/>
          <w:szCs w:val="20"/>
        </w:rPr>
      </w:pPr>
      <w:r w:rsidRPr="00DA7B31">
        <w:rPr>
          <w:rFonts w:cstheme="minorHAnsi"/>
          <w:sz w:val="20"/>
          <w:szCs w:val="20"/>
        </w:rPr>
        <w:t xml:space="preserve">Berle A et </w:t>
      </w:r>
      <w:proofErr w:type="spellStart"/>
      <w:r w:rsidRPr="00DA7B31">
        <w:rPr>
          <w:rFonts w:cstheme="minorHAnsi"/>
          <w:sz w:val="20"/>
          <w:szCs w:val="20"/>
        </w:rPr>
        <w:t>Means</w:t>
      </w:r>
      <w:proofErr w:type="spellEnd"/>
      <w:r w:rsidRPr="00DA7B31">
        <w:rPr>
          <w:rFonts w:cstheme="minorHAnsi"/>
          <w:sz w:val="20"/>
          <w:szCs w:val="20"/>
        </w:rPr>
        <w:t xml:space="preserve"> G.C (1932) : </w:t>
      </w:r>
      <w:r w:rsidRPr="00FC1FCE">
        <w:rPr>
          <w:rFonts w:cstheme="minorHAnsi"/>
          <w:i/>
          <w:iCs/>
          <w:sz w:val="20"/>
          <w:szCs w:val="20"/>
        </w:rPr>
        <w:t xml:space="preserve">The modern corporation and </w:t>
      </w:r>
      <w:proofErr w:type="spellStart"/>
      <w:r w:rsidRPr="00FC1FCE">
        <w:rPr>
          <w:rFonts w:cstheme="minorHAnsi"/>
          <w:i/>
          <w:iCs/>
          <w:sz w:val="20"/>
          <w:szCs w:val="20"/>
        </w:rPr>
        <w:t>private</w:t>
      </w:r>
      <w:proofErr w:type="spellEnd"/>
      <w:r w:rsidRPr="00FC1FCE">
        <w:rPr>
          <w:rFonts w:cstheme="minorHAnsi"/>
          <w:i/>
          <w:iCs/>
          <w:sz w:val="20"/>
          <w:szCs w:val="20"/>
        </w:rPr>
        <w:t xml:space="preserve"> </w:t>
      </w:r>
      <w:proofErr w:type="spellStart"/>
      <w:r w:rsidRPr="00FC1FCE">
        <w:rPr>
          <w:rFonts w:cstheme="minorHAnsi"/>
          <w:i/>
          <w:iCs/>
          <w:sz w:val="20"/>
          <w:szCs w:val="20"/>
        </w:rPr>
        <w:t>property</w:t>
      </w:r>
      <w:proofErr w:type="spellEnd"/>
      <w:r w:rsidRPr="00DA7B31">
        <w:rPr>
          <w:rFonts w:cstheme="minorHAnsi"/>
          <w:sz w:val="20"/>
          <w:szCs w:val="20"/>
        </w:rPr>
        <w:t xml:space="preserve">, New York, The Macmillan </w:t>
      </w:r>
      <w:proofErr w:type="spellStart"/>
      <w:r w:rsidRPr="00DA7B31">
        <w:rPr>
          <w:rFonts w:cstheme="minorHAnsi"/>
          <w:sz w:val="20"/>
          <w:szCs w:val="20"/>
        </w:rPr>
        <w:t>Company</w:t>
      </w:r>
      <w:proofErr w:type="spellEnd"/>
    </w:p>
    <w:p w14:paraId="3F8795E5" w14:textId="2498CEE9" w:rsidR="00863E4E" w:rsidRPr="00DA7B31" w:rsidRDefault="00863E4E" w:rsidP="00932E08">
      <w:pPr>
        <w:suppressAutoHyphens/>
        <w:jc w:val="both"/>
        <w:rPr>
          <w:rFonts w:cstheme="minorHAnsi"/>
          <w:sz w:val="20"/>
          <w:szCs w:val="20"/>
        </w:rPr>
      </w:pPr>
      <w:proofErr w:type="spellStart"/>
      <w:r w:rsidRPr="00DA7B31">
        <w:rPr>
          <w:rFonts w:cstheme="minorHAnsi"/>
          <w:sz w:val="20"/>
          <w:szCs w:val="20"/>
        </w:rPr>
        <w:t>Charreaux</w:t>
      </w:r>
      <w:proofErr w:type="spellEnd"/>
      <w:r w:rsidRPr="00DA7B31">
        <w:rPr>
          <w:rFonts w:cstheme="minorHAnsi"/>
          <w:sz w:val="20"/>
          <w:szCs w:val="20"/>
        </w:rPr>
        <w:t xml:space="preserve"> G (1997) </w:t>
      </w:r>
      <w:r w:rsidRPr="00A60E81">
        <w:rPr>
          <w:rFonts w:cstheme="minorHAnsi"/>
          <w:i/>
          <w:iCs/>
          <w:sz w:val="20"/>
          <w:szCs w:val="20"/>
        </w:rPr>
        <w:t xml:space="preserve">: Le Gouvernement des entreprises, </w:t>
      </w:r>
      <w:proofErr w:type="spellStart"/>
      <w:r w:rsidRPr="00A60E81">
        <w:rPr>
          <w:rFonts w:cstheme="minorHAnsi"/>
          <w:i/>
          <w:iCs/>
          <w:sz w:val="20"/>
          <w:szCs w:val="20"/>
        </w:rPr>
        <w:t>Corporate</w:t>
      </w:r>
      <w:proofErr w:type="spellEnd"/>
      <w:r w:rsidRPr="00A60E81">
        <w:rPr>
          <w:rFonts w:cstheme="minorHAnsi"/>
          <w:i/>
          <w:iCs/>
          <w:sz w:val="20"/>
          <w:szCs w:val="20"/>
        </w:rPr>
        <w:t xml:space="preserve"> </w:t>
      </w:r>
      <w:proofErr w:type="spellStart"/>
      <w:r w:rsidRPr="00A60E81">
        <w:rPr>
          <w:rFonts w:cstheme="minorHAnsi"/>
          <w:i/>
          <w:iCs/>
          <w:sz w:val="20"/>
          <w:szCs w:val="20"/>
        </w:rPr>
        <w:t>Governance</w:t>
      </w:r>
      <w:proofErr w:type="spellEnd"/>
      <w:r w:rsidRPr="00A60E81">
        <w:rPr>
          <w:rFonts w:cstheme="minorHAnsi"/>
          <w:i/>
          <w:iCs/>
          <w:sz w:val="20"/>
          <w:szCs w:val="20"/>
        </w:rPr>
        <w:t>, Théories et Faits</w:t>
      </w:r>
      <w:r w:rsidRPr="00DA7B31">
        <w:rPr>
          <w:rFonts w:cstheme="minorHAnsi"/>
          <w:sz w:val="20"/>
          <w:szCs w:val="20"/>
        </w:rPr>
        <w:t>, Economica, 540 p</w:t>
      </w:r>
    </w:p>
    <w:p w14:paraId="6B480B07" w14:textId="690E027A" w:rsidR="00AC6BC0" w:rsidRPr="00DA7B31" w:rsidRDefault="00AC6BC0" w:rsidP="00932E08">
      <w:pPr>
        <w:suppressAutoHyphens/>
        <w:jc w:val="both"/>
        <w:rPr>
          <w:rFonts w:cstheme="minorHAnsi"/>
          <w:sz w:val="20"/>
          <w:szCs w:val="20"/>
        </w:rPr>
      </w:pPr>
      <w:r w:rsidRPr="00DA7B31">
        <w:rPr>
          <w:rFonts w:cstheme="minorHAnsi"/>
          <w:sz w:val="20"/>
          <w:szCs w:val="20"/>
        </w:rPr>
        <w:t xml:space="preserve">Hofstede G (1991) : </w:t>
      </w:r>
      <w:r w:rsidRPr="00A60E81">
        <w:rPr>
          <w:rFonts w:cstheme="minorHAnsi"/>
          <w:i/>
          <w:iCs/>
          <w:sz w:val="20"/>
          <w:szCs w:val="20"/>
        </w:rPr>
        <w:t xml:space="preserve">Cultures and </w:t>
      </w:r>
      <w:proofErr w:type="spellStart"/>
      <w:r w:rsidRPr="00A60E81">
        <w:rPr>
          <w:rFonts w:cstheme="minorHAnsi"/>
          <w:i/>
          <w:iCs/>
          <w:sz w:val="20"/>
          <w:szCs w:val="20"/>
        </w:rPr>
        <w:t>organizations</w:t>
      </w:r>
      <w:proofErr w:type="spellEnd"/>
      <w:r w:rsidRPr="00A60E81">
        <w:rPr>
          <w:rFonts w:cstheme="minorHAnsi"/>
          <w:i/>
          <w:iCs/>
          <w:sz w:val="20"/>
          <w:szCs w:val="20"/>
        </w:rPr>
        <w:t xml:space="preserve"> : software of the </w:t>
      </w:r>
      <w:proofErr w:type="spellStart"/>
      <w:r w:rsidRPr="00A60E81">
        <w:rPr>
          <w:rFonts w:cstheme="minorHAnsi"/>
          <w:i/>
          <w:iCs/>
          <w:sz w:val="20"/>
          <w:szCs w:val="20"/>
        </w:rPr>
        <w:t>mind</w:t>
      </w:r>
      <w:proofErr w:type="spellEnd"/>
      <w:r w:rsidRPr="00DA7B31">
        <w:rPr>
          <w:rFonts w:cstheme="minorHAnsi"/>
          <w:sz w:val="20"/>
          <w:szCs w:val="20"/>
        </w:rPr>
        <w:t xml:space="preserve">, London Mc </w:t>
      </w:r>
      <w:proofErr w:type="spellStart"/>
      <w:r w:rsidRPr="00DA7B31">
        <w:rPr>
          <w:rFonts w:cstheme="minorHAnsi"/>
          <w:sz w:val="20"/>
          <w:szCs w:val="20"/>
        </w:rPr>
        <w:t>Graw</w:t>
      </w:r>
      <w:proofErr w:type="spellEnd"/>
      <w:r w:rsidRPr="00DA7B31">
        <w:rPr>
          <w:rFonts w:cstheme="minorHAnsi"/>
          <w:sz w:val="20"/>
          <w:szCs w:val="20"/>
        </w:rPr>
        <w:t>-Hill</w:t>
      </w:r>
    </w:p>
    <w:p w14:paraId="45DBF484" w14:textId="36E778B1" w:rsidR="00AC6BC0" w:rsidRPr="00DA7B31" w:rsidRDefault="00AC6BC0" w:rsidP="00932E08">
      <w:pPr>
        <w:suppressAutoHyphens/>
        <w:jc w:val="both"/>
        <w:rPr>
          <w:rFonts w:cstheme="minorHAnsi"/>
          <w:sz w:val="20"/>
          <w:szCs w:val="20"/>
        </w:rPr>
      </w:pPr>
      <w:r w:rsidRPr="00DA7B31">
        <w:rPr>
          <w:rFonts w:cstheme="minorHAnsi"/>
          <w:sz w:val="20"/>
          <w:szCs w:val="20"/>
        </w:rPr>
        <w:t>Lawler E.E (1992) :  </w:t>
      </w:r>
      <w:r w:rsidRPr="00A60E81">
        <w:rPr>
          <w:rFonts w:cstheme="minorHAnsi"/>
          <w:i/>
          <w:iCs/>
          <w:sz w:val="20"/>
          <w:szCs w:val="20"/>
        </w:rPr>
        <w:t xml:space="preserve">The </w:t>
      </w:r>
      <w:proofErr w:type="spellStart"/>
      <w:r w:rsidRPr="00A60E81">
        <w:rPr>
          <w:rFonts w:cstheme="minorHAnsi"/>
          <w:i/>
          <w:iCs/>
          <w:sz w:val="20"/>
          <w:szCs w:val="20"/>
        </w:rPr>
        <w:t>ultimate</w:t>
      </w:r>
      <w:proofErr w:type="spellEnd"/>
      <w:r w:rsidRPr="00A60E81">
        <w:rPr>
          <w:rFonts w:cstheme="minorHAnsi"/>
          <w:i/>
          <w:iCs/>
          <w:sz w:val="20"/>
          <w:szCs w:val="20"/>
        </w:rPr>
        <w:t xml:space="preserve"> </w:t>
      </w:r>
      <w:proofErr w:type="spellStart"/>
      <w:r w:rsidRPr="00A60E81">
        <w:rPr>
          <w:rFonts w:cstheme="minorHAnsi"/>
          <w:i/>
          <w:iCs/>
          <w:sz w:val="20"/>
          <w:szCs w:val="20"/>
        </w:rPr>
        <w:t>advantage</w:t>
      </w:r>
      <w:proofErr w:type="spellEnd"/>
      <w:r w:rsidRPr="00DA7B31">
        <w:rPr>
          <w:rFonts w:cstheme="minorHAnsi"/>
          <w:sz w:val="20"/>
          <w:szCs w:val="20"/>
        </w:rPr>
        <w:t xml:space="preserve">, San Francisco, </w:t>
      </w:r>
      <w:proofErr w:type="spellStart"/>
      <w:r w:rsidRPr="00DA7B31">
        <w:rPr>
          <w:rFonts w:cstheme="minorHAnsi"/>
          <w:sz w:val="20"/>
          <w:szCs w:val="20"/>
        </w:rPr>
        <w:t>Jossey</w:t>
      </w:r>
      <w:proofErr w:type="spellEnd"/>
      <w:r w:rsidRPr="00DA7B31">
        <w:rPr>
          <w:rFonts w:cstheme="minorHAnsi"/>
          <w:sz w:val="20"/>
          <w:szCs w:val="20"/>
        </w:rPr>
        <w:t>-Bass</w:t>
      </w:r>
    </w:p>
    <w:p w14:paraId="2240583A" w14:textId="5981FCE7" w:rsidR="00AC6BC0" w:rsidRPr="00DA7B31" w:rsidRDefault="00AC6BC0" w:rsidP="00932E08">
      <w:pPr>
        <w:suppressAutoHyphens/>
        <w:jc w:val="both"/>
        <w:rPr>
          <w:rFonts w:cstheme="minorHAnsi"/>
          <w:sz w:val="20"/>
          <w:szCs w:val="20"/>
        </w:rPr>
      </w:pPr>
      <w:r w:rsidRPr="00DA7B31">
        <w:rPr>
          <w:rFonts w:cstheme="minorHAnsi"/>
          <w:sz w:val="20"/>
          <w:szCs w:val="20"/>
        </w:rPr>
        <w:t>Maslow A.H (1970) :  </w:t>
      </w:r>
      <w:r w:rsidRPr="00A60E81">
        <w:rPr>
          <w:rFonts w:cstheme="minorHAnsi"/>
          <w:i/>
          <w:iCs/>
          <w:sz w:val="20"/>
          <w:szCs w:val="20"/>
        </w:rPr>
        <w:t xml:space="preserve">Motivation and </w:t>
      </w:r>
      <w:proofErr w:type="spellStart"/>
      <w:r w:rsidRPr="00A60E81">
        <w:rPr>
          <w:rFonts w:cstheme="minorHAnsi"/>
          <w:i/>
          <w:iCs/>
          <w:sz w:val="20"/>
          <w:szCs w:val="20"/>
        </w:rPr>
        <w:t>personality</w:t>
      </w:r>
      <w:proofErr w:type="spellEnd"/>
      <w:r w:rsidRPr="00DA7B31">
        <w:rPr>
          <w:rFonts w:cstheme="minorHAnsi"/>
          <w:sz w:val="20"/>
          <w:szCs w:val="20"/>
        </w:rPr>
        <w:t>, New York Harper &amp; Row</w:t>
      </w:r>
    </w:p>
    <w:p w14:paraId="19856E9B" w14:textId="6AD00A0C" w:rsidR="00AC6BC0" w:rsidRPr="00DA7B31" w:rsidRDefault="00AC6BC0" w:rsidP="00932E08">
      <w:pPr>
        <w:suppressAutoHyphens/>
        <w:jc w:val="both"/>
        <w:rPr>
          <w:rFonts w:cstheme="minorHAnsi"/>
          <w:sz w:val="20"/>
          <w:szCs w:val="20"/>
        </w:rPr>
      </w:pPr>
      <w:r w:rsidRPr="00DA7B31">
        <w:rPr>
          <w:rFonts w:cstheme="minorHAnsi"/>
          <w:sz w:val="20"/>
          <w:szCs w:val="20"/>
        </w:rPr>
        <w:t xml:space="preserve">McGregor D (1960) : </w:t>
      </w:r>
      <w:r w:rsidRPr="00A60E81">
        <w:rPr>
          <w:rFonts w:cstheme="minorHAnsi"/>
          <w:i/>
          <w:iCs/>
          <w:sz w:val="20"/>
          <w:szCs w:val="20"/>
        </w:rPr>
        <w:t xml:space="preserve">The </w:t>
      </w:r>
      <w:proofErr w:type="spellStart"/>
      <w:r w:rsidRPr="00A60E81">
        <w:rPr>
          <w:rFonts w:cstheme="minorHAnsi"/>
          <w:i/>
          <w:iCs/>
          <w:sz w:val="20"/>
          <w:szCs w:val="20"/>
        </w:rPr>
        <w:t>human</w:t>
      </w:r>
      <w:proofErr w:type="spellEnd"/>
      <w:r w:rsidRPr="00A60E81">
        <w:rPr>
          <w:rFonts w:cstheme="minorHAnsi"/>
          <w:i/>
          <w:iCs/>
          <w:sz w:val="20"/>
          <w:szCs w:val="20"/>
        </w:rPr>
        <w:t xml:space="preserve"> </w:t>
      </w:r>
      <w:proofErr w:type="spellStart"/>
      <w:r w:rsidRPr="00A60E81">
        <w:rPr>
          <w:rFonts w:cstheme="minorHAnsi"/>
          <w:i/>
          <w:iCs/>
          <w:sz w:val="20"/>
          <w:szCs w:val="20"/>
        </w:rPr>
        <w:t>side</w:t>
      </w:r>
      <w:proofErr w:type="spellEnd"/>
      <w:r w:rsidRPr="00A60E81">
        <w:rPr>
          <w:rFonts w:cstheme="minorHAnsi"/>
          <w:i/>
          <w:iCs/>
          <w:sz w:val="20"/>
          <w:szCs w:val="20"/>
        </w:rPr>
        <w:t xml:space="preserve"> of the </w:t>
      </w:r>
      <w:proofErr w:type="spellStart"/>
      <w:r w:rsidRPr="00A60E81">
        <w:rPr>
          <w:rFonts w:cstheme="minorHAnsi"/>
          <w:i/>
          <w:iCs/>
          <w:sz w:val="20"/>
          <w:szCs w:val="20"/>
        </w:rPr>
        <w:t>enterprise</w:t>
      </w:r>
      <w:proofErr w:type="spellEnd"/>
      <w:r w:rsidRPr="00DA7B31">
        <w:rPr>
          <w:rFonts w:cstheme="minorHAnsi"/>
          <w:sz w:val="20"/>
          <w:szCs w:val="20"/>
        </w:rPr>
        <w:t xml:space="preserve">, New York Mc </w:t>
      </w:r>
      <w:proofErr w:type="spellStart"/>
      <w:r w:rsidRPr="00DA7B31">
        <w:rPr>
          <w:rFonts w:cstheme="minorHAnsi"/>
          <w:sz w:val="20"/>
          <w:szCs w:val="20"/>
        </w:rPr>
        <w:t>Graw</w:t>
      </w:r>
      <w:proofErr w:type="spellEnd"/>
      <w:r w:rsidRPr="00DA7B31">
        <w:rPr>
          <w:rFonts w:cstheme="minorHAnsi"/>
          <w:sz w:val="20"/>
          <w:szCs w:val="20"/>
        </w:rPr>
        <w:t xml:space="preserve"> Hill</w:t>
      </w:r>
    </w:p>
    <w:p w14:paraId="6D9B4271" w14:textId="1B64A9A6" w:rsidR="00AC6BC0" w:rsidRPr="00267634" w:rsidRDefault="00AC6BC0" w:rsidP="00932E08">
      <w:pPr>
        <w:suppressAutoHyphens/>
        <w:autoSpaceDE w:val="0"/>
        <w:autoSpaceDN w:val="0"/>
        <w:adjustRightInd w:val="0"/>
        <w:jc w:val="both"/>
        <w:rPr>
          <w:rFonts w:cstheme="minorHAnsi"/>
          <w:sz w:val="20"/>
          <w:szCs w:val="20"/>
        </w:rPr>
      </w:pPr>
      <w:r w:rsidRPr="00DA7B31">
        <w:rPr>
          <w:rFonts w:cstheme="minorHAnsi"/>
          <w:sz w:val="20"/>
          <w:szCs w:val="20"/>
        </w:rPr>
        <w:t>PAQUET G (2 000) : « La gouvernance en tant que manière de voir : le paradigme de</w:t>
      </w:r>
      <w:r w:rsidR="00267634">
        <w:rPr>
          <w:rFonts w:cstheme="minorHAnsi"/>
          <w:sz w:val="20"/>
          <w:szCs w:val="20"/>
        </w:rPr>
        <w:t xml:space="preserve"> </w:t>
      </w:r>
      <w:r w:rsidRPr="00DA7B31">
        <w:rPr>
          <w:rFonts w:cstheme="minorHAnsi"/>
          <w:sz w:val="20"/>
          <w:szCs w:val="20"/>
        </w:rPr>
        <w:t xml:space="preserve">l’apprentissage collectif », in L. Cardinal, C. Andrew, </w:t>
      </w:r>
      <w:r w:rsidRPr="00DA7B31">
        <w:rPr>
          <w:rFonts w:cstheme="minorHAnsi"/>
          <w:i/>
          <w:iCs/>
          <w:sz w:val="20"/>
          <w:szCs w:val="20"/>
        </w:rPr>
        <w:t xml:space="preserve">La démocratie à l’épreuve de la gouvernance, </w:t>
      </w:r>
      <w:r w:rsidRPr="00DA7B31">
        <w:rPr>
          <w:rFonts w:cstheme="minorHAnsi"/>
          <w:sz w:val="20"/>
          <w:szCs w:val="20"/>
        </w:rPr>
        <w:t>Presses de l’Université d’Ottawa, p 9.</w:t>
      </w:r>
    </w:p>
    <w:p w14:paraId="535BF0FF" w14:textId="77C0F621" w:rsidR="00AC6BC0" w:rsidRPr="00DA7B31" w:rsidRDefault="00AC6BC0" w:rsidP="00932E08">
      <w:pPr>
        <w:suppressAutoHyphens/>
        <w:jc w:val="both"/>
        <w:rPr>
          <w:rFonts w:cstheme="minorHAnsi"/>
          <w:sz w:val="20"/>
          <w:szCs w:val="20"/>
        </w:rPr>
      </w:pPr>
      <w:r w:rsidRPr="00DA7B31">
        <w:rPr>
          <w:rFonts w:cstheme="minorHAnsi"/>
          <w:sz w:val="20"/>
          <w:szCs w:val="20"/>
        </w:rPr>
        <w:t xml:space="preserve">Prada M et </w:t>
      </w:r>
      <w:proofErr w:type="spellStart"/>
      <w:r w:rsidRPr="00DA7B31">
        <w:rPr>
          <w:rFonts w:cstheme="minorHAnsi"/>
          <w:sz w:val="20"/>
          <w:szCs w:val="20"/>
        </w:rPr>
        <w:t>Sonrier</w:t>
      </w:r>
      <w:proofErr w:type="spellEnd"/>
      <w:r w:rsidRPr="00DA7B31">
        <w:rPr>
          <w:rFonts w:cstheme="minorHAnsi"/>
          <w:sz w:val="20"/>
          <w:szCs w:val="20"/>
        </w:rPr>
        <w:t xml:space="preserve"> A (1985) :  </w:t>
      </w:r>
      <w:r w:rsidRPr="00FC1FCE">
        <w:rPr>
          <w:rFonts w:cstheme="minorHAnsi"/>
          <w:i/>
          <w:iCs/>
          <w:sz w:val="20"/>
          <w:szCs w:val="20"/>
        </w:rPr>
        <w:t>La comptabilité publique</w:t>
      </w:r>
      <w:r w:rsidRPr="00DA7B31">
        <w:rPr>
          <w:rFonts w:cstheme="minorHAnsi"/>
          <w:sz w:val="20"/>
          <w:szCs w:val="20"/>
        </w:rPr>
        <w:t>, Berger-Levrault, 374 pages</w:t>
      </w:r>
    </w:p>
    <w:p w14:paraId="4936DE34" w14:textId="77777777" w:rsidR="00AC6BC0" w:rsidRPr="008E25F4" w:rsidRDefault="00AC6BC0" w:rsidP="00932E08">
      <w:pPr>
        <w:suppressAutoHyphens/>
        <w:jc w:val="both"/>
        <w:rPr>
          <w:rFonts w:cstheme="minorHAnsi"/>
          <w:u w:val="single"/>
        </w:rPr>
      </w:pPr>
    </w:p>
    <w:p w14:paraId="09394F04" w14:textId="6696FB62" w:rsidR="00AC6BC0" w:rsidRPr="00267634" w:rsidRDefault="00AC6BC0" w:rsidP="00620E10">
      <w:pPr>
        <w:suppressAutoHyphens/>
        <w:spacing w:before="360" w:after="240"/>
        <w:jc w:val="both"/>
        <w:rPr>
          <w:rFonts w:cstheme="minorHAnsi"/>
          <w:b/>
          <w:bCs/>
          <w:sz w:val="24"/>
          <w:szCs w:val="24"/>
        </w:rPr>
      </w:pPr>
      <w:r w:rsidRPr="00267634">
        <w:rPr>
          <w:rFonts w:cstheme="minorHAnsi"/>
          <w:b/>
          <w:bCs/>
          <w:sz w:val="24"/>
          <w:szCs w:val="24"/>
        </w:rPr>
        <w:t>Rapports :</w:t>
      </w:r>
    </w:p>
    <w:p w14:paraId="0CD948DB" w14:textId="3699E676" w:rsidR="00DA78A3" w:rsidRDefault="00DA78A3" w:rsidP="00932E08">
      <w:pPr>
        <w:pStyle w:val="Titre3"/>
        <w:keepNext w:val="0"/>
        <w:keepLines w:val="0"/>
        <w:suppressAutoHyphens/>
        <w:spacing w:before="0" w:after="120"/>
        <w:jc w:val="both"/>
        <w:rPr>
          <w:rFonts w:asciiTheme="minorHAnsi" w:hAnsiTheme="minorHAnsi" w:cstheme="minorHAnsi"/>
          <w:color w:val="auto"/>
          <w:sz w:val="20"/>
          <w:szCs w:val="20"/>
        </w:rPr>
      </w:pPr>
      <w:r w:rsidRPr="00DA78A3">
        <w:rPr>
          <w:rFonts w:cstheme="minorHAnsi"/>
          <w:color w:val="auto"/>
          <w:sz w:val="20"/>
          <w:szCs w:val="20"/>
        </w:rPr>
        <w:t>Cour des comptes (2019) :</w:t>
      </w:r>
      <w:r>
        <w:rPr>
          <w:rFonts w:cstheme="minorHAnsi"/>
          <w:color w:val="auto"/>
          <w:sz w:val="20"/>
          <w:szCs w:val="20"/>
        </w:rPr>
        <w:t xml:space="preserve"> « </w:t>
      </w:r>
      <w:r w:rsidRPr="00DA78A3">
        <w:rPr>
          <w:rFonts w:cstheme="minorHAnsi"/>
          <w:color w:val="auto"/>
          <w:sz w:val="20"/>
          <w:szCs w:val="20"/>
        </w:rPr>
        <w:t>Bilan intermédiaire de l’expérimentation de la certification des comptes locaux</w:t>
      </w:r>
      <w:r>
        <w:rPr>
          <w:rFonts w:cstheme="minorHAnsi"/>
          <w:color w:val="auto"/>
          <w:sz w:val="20"/>
          <w:szCs w:val="20"/>
        </w:rPr>
        <w:t> »</w:t>
      </w:r>
      <w:r w:rsidRPr="00DA78A3">
        <w:rPr>
          <w:rFonts w:cstheme="minorHAnsi"/>
          <w:color w:val="auto"/>
          <w:sz w:val="20"/>
          <w:szCs w:val="20"/>
        </w:rPr>
        <w:t xml:space="preserve">, </w:t>
      </w:r>
      <w:r>
        <w:rPr>
          <w:rFonts w:cstheme="minorHAnsi"/>
          <w:color w:val="auto"/>
          <w:sz w:val="20"/>
          <w:szCs w:val="20"/>
        </w:rPr>
        <w:t xml:space="preserve">juin, </w:t>
      </w:r>
      <w:r w:rsidRPr="00DA78A3">
        <w:rPr>
          <w:rFonts w:cstheme="minorHAnsi"/>
          <w:color w:val="auto"/>
          <w:sz w:val="20"/>
          <w:szCs w:val="20"/>
        </w:rPr>
        <w:t>78 p</w:t>
      </w:r>
    </w:p>
    <w:p w14:paraId="1B0D9566" w14:textId="4F760B8B" w:rsidR="00AC6BC0" w:rsidRPr="00DA7B31" w:rsidRDefault="00AC6BC0" w:rsidP="00932E08">
      <w:pPr>
        <w:pStyle w:val="Titre3"/>
        <w:keepNext w:val="0"/>
        <w:keepLines w:val="0"/>
        <w:suppressAutoHyphens/>
        <w:spacing w:before="0" w:after="120"/>
        <w:jc w:val="both"/>
        <w:rPr>
          <w:rFonts w:asciiTheme="minorHAnsi" w:hAnsiTheme="minorHAnsi" w:cstheme="minorHAnsi"/>
          <w:color w:val="auto"/>
          <w:sz w:val="20"/>
          <w:szCs w:val="20"/>
        </w:rPr>
      </w:pPr>
      <w:r w:rsidRPr="00DA7B31">
        <w:rPr>
          <w:rFonts w:asciiTheme="minorHAnsi" w:hAnsiTheme="minorHAnsi" w:cstheme="minorHAnsi"/>
          <w:color w:val="auto"/>
          <w:sz w:val="20"/>
          <w:szCs w:val="20"/>
        </w:rPr>
        <w:t xml:space="preserve"> Inspection Générale des Finances (2017) : </w:t>
      </w:r>
      <w:r w:rsidR="00DA78A3">
        <w:rPr>
          <w:rFonts w:asciiTheme="minorHAnsi" w:hAnsiTheme="minorHAnsi" w:cstheme="minorHAnsi"/>
          <w:color w:val="auto"/>
          <w:sz w:val="20"/>
          <w:szCs w:val="20"/>
        </w:rPr>
        <w:t>« </w:t>
      </w:r>
      <w:r w:rsidRPr="00DA7B31">
        <w:rPr>
          <w:rFonts w:asciiTheme="minorHAnsi" w:hAnsiTheme="minorHAnsi" w:cstheme="minorHAnsi"/>
          <w:color w:val="auto"/>
          <w:sz w:val="20"/>
          <w:szCs w:val="20"/>
        </w:rPr>
        <w:t>Mise en place d’un compte financier unique dans le cadre budgétaire et comptable des collectivités territoriales</w:t>
      </w:r>
      <w:r w:rsidR="00DA78A3">
        <w:rPr>
          <w:rFonts w:asciiTheme="minorHAnsi" w:hAnsiTheme="minorHAnsi" w:cstheme="minorHAnsi"/>
          <w:color w:val="auto"/>
          <w:sz w:val="20"/>
          <w:szCs w:val="20"/>
        </w:rPr>
        <w:t> », a</w:t>
      </w:r>
      <w:r w:rsidRPr="00DA7B31">
        <w:rPr>
          <w:rFonts w:asciiTheme="minorHAnsi" w:hAnsiTheme="minorHAnsi" w:cstheme="minorHAnsi"/>
          <w:color w:val="auto"/>
          <w:sz w:val="20"/>
          <w:szCs w:val="20"/>
        </w:rPr>
        <w:t>oût, 353 p</w:t>
      </w:r>
    </w:p>
    <w:p w14:paraId="2A0CA5A0" w14:textId="492B1FC6" w:rsidR="006A39A6" w:rsidRPr="00DA7B31" w:rsidRDefault="006A39A6" w:rsidP="00932E08">
      <w:pPr>
        <w:suppressAutoHyphens/>
        <w:rPr>
          <w:rFonts w:cstheme="minorHAnsi"/>
          <w:sz w:val="20"/>
          <w:szCs w:val="20"/>
        </w:rPr>
      </w:pPr>
      <w:r w:rsidRPr="00DA7B31">
        <w:rPr>
          <w:rFonts w:cstheme="minorHAnsi"/>
          <w:sz w:val="20"/>
          <w:szCs w:val="20"/>
        </w:rPr>
        <w:t>Chambre Régionale des comptes région Rhône-Alpes-Auvergne</w:t>
      </w:r>
      <w:r w:rsidR="00FB4D99">
        <w:rPr>
          <w:rFonts w:cstheme="minorHAnsi"/>
          <w:sz w:val="20"/>
          <w:szCs w:val="20"/>
        </w:rPr>
        <w:t xml:space="preserve"> </w:t>
      </w:r>
      <w:r w:rsidR="00DA78A3">
        <w:rPr>
          <w:rFonts w:cstheme="minorHAnsi"/>
          <w:sz w:val="20"/>
          <w:szCs w:val="20"/>
        </w:rPr>
        <w:t>(</w:t>
      </w:r>
      <w:r w:rsidR="00932E08">
        <w:rPr>
          <w:rFonts w:cstheme="minorHAnsi"/>
          <w:sz w:val="20"/>
          <w:szCs w:val="20"/>
        </w:rPr>
        <w:t>2019</w:t>
      </w:r>
      <w:r w:rsidR="00DA78A3">
        <w:rPr>
          <w:rFonts w:cstheme="minorHAnsi"/>
          <w:sz w:val="20"/>
          <w:szCs w:val="20"/>
        </w:rPr>
        <w:t>) : r</w:t>
      </w:r>
      <w:r w:rsidR="00DA78A3" w:rsidRPr="00DA7B31">
        <w:rPr>
          <w:rFonts w:cstheme="minorHAnsi"/>
          <w:sz w:val="20"/>
          <w:szCs w:val="20"/>
        </w:rPr>
        <w:t>apport d’activité</w:t>
      </w:r>
      <w:r w:rsidR="00DA78A3">
        <w:rPr>
          <w:rFonts w:cstheme="minorHAnsi"/>
          <w:sz w:val="20"/>
          <w:szCs w:val="20"/>
        </w:rPr>
        <w:t>,</w:t>
      </w:r>
      <w:r w:rsidR="00DA78A3" w:rsidRPr="00DA7B31">
        <w:rPr>
          <w:rFonts w:cstheme="minorHAnsi"/>
          <w:sz w:val="20"/>
          <w:szCs w:val="20"/>
        </w:rPr>
        <w:t xml:space="preserve"> </w:t>
      </w:r>
      <w:r w:rsidRPr="00DA7B31">
        <w:rPr>
          <w:rFonts w:cstheme="minorHAnsi"/>
          <w:sz w:val="20"/>
          <w:szCs w:val="20"/>
        </w:rPr>
        <w:t>24 p</w:t>
      </w:r>
    </w:p>
    <w:p w14:paraId="0B675BB2" w14:textId="77777777" w:rsidR="00AC6BC0" w:rsidRPr="00DA7B31" w:rsidRDefault="00AC6BC0" w:rsidP="00932E08">
      <w:pPr>
        <w:suppressAutoHyphens/>
        <w:jc w:val="both"/>
        <w:rPr>
          <w:rFonts w:cstheme="minorHAnsi"/>
          <w:sz w:val="20"/>
          <w:szCs w:val="20"/>
        </w:rPr>
      </w:pPr>
    </w:p>
    <w:p w14:paraId="17356268" w14:textId="77777777" w:rsidR="00AC6BC0" w:rsidRPr="00267634" w:rsidRDefault="00AC6BC0" w:rsidP="00620E10">
      <w:pPr>
        <w:suppressAutoHyphens/>
        <w:spacing w:before="360" w:after="240"/>
        <w:jc w:val="both"/>
        <w:rPr>
          <w:rFonts w:cstheme="minorHAnsi"/>
          <w:b/>
          <w:bCs/>
          <w:sz w:val="24"/>
          <w:szCs w:val="24"/>
        </w:rPr>
      </w:pPr>
      <w:r w:rsidRPr="00267634">
        <w:rPr>
          <w:rFonts w:cstheme="minorHAnsi"/>
          <w:b/>
          <w:bCs/>
          <w:sz w:val="24"/>
          <w:szCs w:val="24"/>
        </w:rPr>
        <w:t>Textes de loi :</w:t>
      </w:r>
    </w:p>
    <w:p w14:paraId="760CDFBB" w14:textId="37E99C07" w:rsidR="00AC6BC0" w:rsidRPr="00DA7B31" w:rsidRDefault="00AC6BC0" w:rsidP="00932E08">
      <w:pPr>
        <w:suppressAutoHyphens/>
        <w:jc w:val="both"/>
        <w:rPr>
          <w:rFonts w:cstheme="minorHAnsi"/>
          <w:sz w:val="20"/>
          <w:szCs w:val="20"/>
        </w:rPr>
      </w:pPr>
      <w:r w:rsidRPr="00DA7B31">
        <w:rPr>
          <w:rFonts w:cstheme="minorHAnsi"/>
          <w:sz w:val="20"/>
          <w:szCs w:val="20"/>
        </w:rPr>
        <w:t xml:space="preserve">Code Général des Collectivités Territoriales (CGCT) </w:t>
      </w:r>
    </w:p>
    <w:p w14:paraId="66F012BA" w14:textId="49DF24AB" w:rsidR="00AC6BC0" w:rsidRPr="00DA7B31" w:rsidRDefault="00AC6BC0" w:rsidP="00932E08">
      <w:pPr>
        <w:suppressAutoHyphens/>
        <w:jc w:val="both"/>
        <w:rPr>
          <w:rFonts w:cstheme="minorHAnsi"/>
          <w:sz w:val="20"/>
          <w:szCs w:val="20"/>
        </w:rPr>
      </w:pPr>
      <w:r w:rsidRPr="00DA7B31">
        <w:rPr>
          <w:rFonts w:cstheme="minorHAnsi"/>
          <w:sz w:val="20"/>
          <w:szCs w:val="20"/>
        </w:rPr>
        <w:t xml:space="preserve">Déclaration des Droits de l’homme et du citoyen </w:t>
      </w:r>
      <w:r w:rsidR="008A59C2">
        <w:rPr>
          <w:rFonts w:cstheme="minorHAnsi"/>
          <w:sz w:val="20"/>
          <w:szCs w:val="20"/>
        </w:rPr>
        <w:t xml:space="preserve">de </w:t>
      </w:r>
      <w:r w:rsidRPr="00DA7B31">
        <w:rPr>
          <w:rFonts w:cstheme="minorHAnsi"/>
          <w:sz w:val="20"/>
          <w:szCs w:val="20"/>
        </w:rPr>
        <w:t>1789</w:t>
      </w:r>
    </w:p>
    <w:p w14:paraId="230B44E9" w14:textId="7A8D7143" w:rsidR="00AC6BC0" w:rsidRPr="00DA7B31" w:rsidRDefault="00AC6BC0" w:rsidP="00932E08">
      <w:pPr>
        <w:suppressAutoHyphens/>
        <w:jc w:val="both"/>
        <w:rPr>
          <w:rFonts w:cstheme="minorHAnsi"/>
          <w:sz w:val="20"/>
          <w:szCs w:val="20"/>
        </w:rPr>
      </w:pPr>
      <w:r w:rsidRPr="00DA7B31">
        <w:rPr>
          <w:rFonts w:cstheme="minorHAnsi"/>
          <w:sz w:val="20"/>
          <w:szCs w:val="20"/>
        </w:rPr>
        <w:t>Constitution du 3 septembre 1791</w:t>
      </w:r>
    </w:p>
    <w:p w14:paraId="6BB1B881" w14:textId="27C30BB9" w:rsidR="00283BB6" w:rsidRPr="00620E10" w:rsidRDefault="00AC6BC0" w:rsidP="00620E10">
      <w:pPr>
        <w:pStyle w:val="Titre1"/>
        <w:keepNext w:val="0"/>
        <w:keepLines w:val="0"/>
        <w:suppressAutoHyphens/>
        <w:spacing w:before="0" w:after="120"/>
        <w:jc w:val="both"/>
        <w:rPr>
          <w:rFonts w:asciiTheme="minorHAnsi" w:hAnsiTheme="minorHAnsi" w:cstheme="minorHAnsi"/>
          <w:sz w:val="20"/>
          <w:szCs w:val="20"/>
          <w:u w:val="none"/>
        </w:rPr>
      </w:pPr>
      <w:r w:rsidRPr="00DA7B31">
        <w:rPr>
          <w:rFonts w:asciiTheme="minorHAnsi" w:hAnsiTheme="minorHAnsi" w:cstheme="minorHAnsi"/>
          <w:sz w:val="20"/>
          <w:szCs w:val="20"/>
          <w:u w:val="none"/>
        </w:rPr>
        <w:t xml:space="preserve">Règlement 2223/96 du Conseil du 25 juin 1996 relatif au système européen des comptes nationaux et régionaux dans la Communauté </w:t>
      </w:r>
    </w:p>
    <w:p w14:paraId="4C4EED06" w14:textId="35F0F63A" w:rsidR="00AC6BC0" w:rsidRPr="00DA7B31" w:rsidRDefault="00AC6BC0" w:rsidP="00932E08">
      <w:pPr>
        <w:suppressAutoHyphens/>
        <w:jc w:val="both"/>
        <w:rPr>
          <w:rFonts w:cstheme="minorHAnsi"/>
          <w:sz w:val="20"/>
          <w:szCs w:val="20"/>
        </w:rPr>
      </w:pPr>
      <w:r w:rsidRPr="00DA7B31">
        <w:rPr>
          <w:rFonts w:cstheme="minorHAnsi"/>
          <w:sz w:val="20"/>
          <w:szCs w:val="20"/>
        </w:rPr>
        <w:t>Loi d’administration territoriale (ATR) du 6 février 1992</w:t>
      </w:r>
    </w:p>
    <w:p w14:paraId="0AE7CCBC" w14:textId="5A0B0A76" w:rsidR="00AC6BC0" w:rsidRPr="00DA7B31" w:rsidRDefault="00AC6BC0" w:rsidP="00932E08">
      <w:pPr>
        <w:suppressAutoHyphens/>
        <w:jc w:val="both"/>
        <w:rPr>
          <w:rFonts w:cstheme="minorHAnsi"/>
          <w:sz w:val="20"/>
          <w:szCs w:val="20"/>
        </w:rPr>
      </w:pPr>
      <w:r w:rsidRPr="00DA7B31">
        <w:rPr>
          <w:rFonts w:cstheme="minorHAnsi"/>
          <w:sz w:val="20"/>
          <w:szCs w:val="20"/>
        </w:rPr>
        <w:t>Loi du 23 juillet 2008 de révision constitutionnelle</w:t>
      </w:r>
    </w:p>
    <w:p w14:paraId="79A5FBB2" w14:textId="77777777" w:rsidR="00AC6BC0" w:rsidRPr="00DA7B31" w:rsidRDefault="00AC6BC0" w:rsidP="00932E08">
      <w:pPr>
        <w:suppressAutoHyphens/>
        <w:jc w:val="both"/>
        <w:rPr>
          <w:rFonts w:cstheme="minorHAnsi"/>
          <w:sz w:val="20"/>
          <w:szCs w:val="20"/>
        </w:rPr>
      </w:pPr>
      <w:r w:rsidRPr="00DA7B31">
        <w:rPr>
          <w:rFonts w:cstheme="minorHAnsi"/>
          <w:sz w:val="20"/>
          <w:szCs w:val="20"/>
        </w:rPr>
        <w:t xml:space="preserve">Directive n°2011/85 du 8 novembre 2011 du Conseil de l’Union Européenne </w:t>
      </w:r>
      <w:r w:rsidRPr="00DA7B31">
        <w:rPr>
          <w:rFonts w:cstheme="minorHAnsi"/>
          <w:bCs/>
          <w:color w:val="000000"/>
          <w:sz w:val="20"/>
          <w:szCs w:val="20"/>
        </w:rPr>
        <w:t>sur les exigences applicables aux cadres budgétaires des États membres</w:t>
      </w:r>
    </w:p>
    <w:p w14:paraId="6FB5CCBA" w14:textId="2C0DAF82" w:rsidR="00AC6BC0" w:rsidRPr="00DA7B31" w:rsidRDefault="00AC6BC0" w:rsidP="00932E08">
      <w:pPr>
        <w:suppressAutoHyphens/>
        <w:jc w:val="both"/>
        <w:rPr>
          <w:rFonts w:cstheme="minorHAnsi"/>
          <w:sz w:val="20"/>
          <w:szCs w:val="20"/>
        </w:rPr>
      </w:pPr>
      <w:r w:rsidRPr="00DA7B31">
        <w:rPr>
          <w:rFonts w:cstheme="minorHAnsi"/>
          <w:sz w:val="20"/>
          <w:szCs w:val="20"/>
        </w:rPr>
        <w:t>Décret n</w:t>
      </w:r>
      <w:r w:rsidRPr="00DA7B31">
        <w:rPr>
          <w:rFonts w:cstheme="minorHAnsi"/>
          <w:sz w:val="20"/>
          <w:szCs w:val="20"/>
          <w:vertAlign w:val="superscript"/>
        </w:rPr>
        <w:t>o</w:t>
      </w:r>
      <w:r w:rsidRPr="00DA7B31">
        <w:rPr>
          <w:rFonts w:cstheme="minorHAnsi"/>
          <w:sz w:val="20"/>
          <w:szCs w:val="20"/>
        </w:rPr>
        <w:t xml:space="preserve"> 2012-1246 du 7 novembre 2012 sur </w:t>
      </w:r>
      <w:r w:rsidR="00620E10">
        <w:rPr>
          <w:rFonts w:cstheme="minorHAnsi"/>
          <w:sz w:val="20"/>
          <w:szCs w:val="20"/>
        </w:rPr>
        <w:t>la</w:t>
      </w:r>
      <w:r w:rsidRPr="00DA7B31">
        <w:rPr>
          <w:rFonts w:cstheme="minorHAnsi"/>
          <w:sz w:val="20"/>
          <w:szCs w:val="20"/>
        </w:rPr>
        <w:t xml:space="preserve"> Gestion budgétaire et comptable publique </w:t>
      </w:r>
      <w:r w:rsidR="00620E10">
        <w:rPr>
          <w:rFonts w:cstheme="minorHAnsi"/>
          <w:sz w:val="20"/>
          <w:szCs w:val="20"/>
        </w:rPr>
        <w:t>(</w:t>
      </w:r>
      <w:r w:rsidRPr="00DA7B31">
        <w:rPr>
          <w:rFonts w:cstheme="minorHAnsi"/>
          <w:sz w:val="20"/>
          <w:szCs w:val="20"/>
        </w:rPr>
        <w:t>GBCP</w:t>
      </w:r>
      <w:r w:rsidR="00620E10">
        <w:rPr>
          <w:rFonts w:cstheme="minorHAnsi"/>
          <w:sz w:val="20"/>
          <w:szCs w:val="20"/>
        </w:rPr>
        <w:t>)</w:t>
      </w:r>
    </w:p>
    <w:p w14:paraId="2C7BFF85" w14:textId="61DAC93A" w:rsidR="00AC6BC0" w:rsidRPr="00AF2F93" w:rsidRDefault="00AC6BC0" w:rsidP="00932E08">
      <w:pPr>
        <w:suppressAutoHyphens/>
        <w:jc w:val="both"/>
        <w:rPr>
          <w:rFonts w:cstheme="minorHAnsi"/>
          <w:sz w:val="20"/>
          <w:szCs w:val="20"/>
        </w:rPr>
      </w:pPr>
      <w:r w:rsidRPr="00DA7B31">
        <w:rPr>
          <w:rFonts w:cstheme="minorHAnsi"/>
          <w:sz w:val="20"/>
          <w:szCs w:val="20"/>
        </w:rPr>
        <w:t xml:space="preserve">Loi </w:t>
      </w:r>
      <w:proofErr w:type="spellStart"/>
      <w:r w:rsidRPr="00DA7B31">
        <w:rPr>
          <w:rFonts w:cstheme="minorHAnsi"/>
          <w:sz w:val="20"/>
          <w:szCs w:val="20"/>
        </w:rPr>
        <w:t>NOTRe</w:t>
      </w:r>
      <w:proofErr w:type="spellEnd"/>
      <w:r w:rsidRPr="00DA7B31">
        <w:rPr>
          <w:rFonts w:cstheme="minorHAnsi"/>
          <w:sz w:val="20"/>
          <w:szCs w:val="20"/>
        </w:rPr>
        <w:t xml:space="preserve"> du 7 août 2015</w:t>
      </w:r>
      <w:r w:rsidR="00AF2F93">
        <w:rPr>
          <w:rFonts w:cstheme="minorHAnsi"/>
          <w:sz w:val="20"/>
          <w:szCs w:val="20"/>
        </w:rPr>
        <w:t xml:space="preserve"> </w:t>
      </w:r>
      <w:r w:rsidR="00AF2F93" w:rsidRPr="00AF2F93">
        <w:rPr>
          <w:rFonts w:cstheme="minorHAnsi"/>
          <w:sz w:val="20"/>
          <w:szCs w:val="20"/>
        </w:rPr>
        <w:t>sur la « Nouvelle Organisation Territoriale de la République »</w:t>
      </w:r>
    </w:p>
    <w:p w14:paraId="0F31872C" w14:textId="0C965879" w:rsidR="00AF2F93" w:rsidRPr="00AF2F93" w:rsidRDefault="00AF2F93" w:rsidP="00932E08">
      <w:pPr>
        <w:suppressAutoHyphens/>
        <w:jc w:val="both"/>
        <w:rPr>
          <w:rFonts w:cstheme="minorHAnsi"/>
          <w:sz w:val="20"/>
          <w:szCs w:val="20"/>
        </w:rPr>
      </w:pPr>
      <w:r w:rsidRPr="00AF2F93">
        <w:rPr>
          <w:rFonts w:cstheme="minorHAnsi"/>
          <w:sz w:val="20"/>
          <w:szCs w:val="20"/>
        </w:rPr>
        <w:t>Décret n° 2018-803 du 24 septembre 2018</w:t>
      </w:r>
      <w:r>
        <w:rPr>
          <w:rFonts w:cstheme="minorHAnsi"/>
          <w:sz w:val="20"/>
          <w:szCs w:val="20"/>
        </w:rPr>
        <w:t xml:space="preserve"> </w:t>
      </w:r>
      <w:r w:rsidRPr="00DA7B31">
        <w:rPr>
          <w:rFonts w:cstheme="minorHAnsi"/>
          <w:sz w:val="20"/>
          <w:szCs w:val="20"/>
        </w:rPr>
        <w:t xml:space="preserve">sur </w:t>
      </w:r>
      <w:r>
        <w:rPr>
          <w:rFonts w:cstheme="minorHAnsi"/>
          <w:sz w:val="20"/>
          <w:szCs w:val="20"/>
        </w:rPr>
        <w:t>la</w:t>
      </w:r>
      <w:r w:rsidRPr="00DA7B31">
        <w:rPr>
          <w:rFonts w:cstheme="minorHAnsi"/>
          <w:sz w:val="20"/>
          <w:szCs w:val="20"/>
        </w:rPr>
        <w:t xml:space="preserve"> Gestion budgétaire et comptable publique </w:t>
      </w:r>
      <w:r>
        <w:rPr>
          <w:rFonts w:cstheme="minorHAnsi"/>
          <w:sz w:val="20"/>
          <w:szCs w:val="20"/>
        </w:rPr>
        <w:t>(</w:t>
      </w:r>
      <w:r w:rsidRPr="00DA7B31">
        <w:rPr>
          <w:rFonts w:cstheme="minorHAnsi"/>
          <w:sz w:val="20"/>
          <w:szCs w:val="20"/>
        </w:rPr>
        <w:t>GBCP</w:t>
      </w:r>
      <w:r>
        <w:rPr>
          <w:rFonts w:cstheme="minorHAnsi"/>
          <w:sz w:val="20"/>
          <w:szCs w:val="20"/>
        </w:rPr>
        <w:t>)</w:t>
      </w:r>
    </w:p>
    <w:p w14:paraId="2C066636" w14:textId="77777777" w:rsidR="00AC6BC0" w:rsidRPr="008E25F4" w:rsidRDefault="00AC6BC0" w:rsidP="00932E08">
      <w:pPr>
        <w:suppressAutoHyphens/>
        <w:jc w:val="both"/>
        <w:rPr>
          <w:rFonts w:cstheme="minorHAnsi"/>
        </w:rPr>
      </w:pPr>
    </w:p>
    <w:p w14:paraId="0C8BF7BE" w14:textId="77777777" w:rsidR="00AC6BC0" w:rsidRPr="0065774E" w:rsidRDefault="00AC6BC0" w:rsidP="00620E10">
      <w:pPr>
        <w:suppressAutoHyphens/>
        <w:spacing w:before="360" w:after="240"/>
        <w:jc w:val="both"/>
        <w:rPr>
          <w:rFonts w:cstheme="minorHAnsi"/>
          <w:b/>
          <w:bCs/>
          <w:sz w:val="24"/>
          <w:szCs w:val="24"/>
        </w:rPr>
      </w:pPr>
      <w:r w:rsidRPr="00267634">
        <w:rPr>
          <w:rFonts w:cstheme="minorHAnsi"/>
          <w:b/>
          <w:bCs/>
          <w:sz w:val="24"/>
          <w:szCs w:val="24"/>
        </w:rPr>
        <w:t>Sites Internet :</w:t>
      </w:r>
    </w:p>
    <w:p w14:paraId="12CCC6DC" w14:textId="53B80400" w:rsidR="00AC6BC0" w:rsidRPr="0065774E" w:rsidRDefault="00AD2833" w:rsidP="00932E08">
      <w:pPr>
        <w:suppressAutoHyphens/>
        <w:jc w:val="both"/>
        <w:rPr>
          <w:rFonts w:ascii="Times New Roman" w:hAnsi="Times New Roman" w:cs="Times New Roman"/>
          <w:sz w:val="20"/>
          <w:szCs w:val="20"/>
        </w:rPr>
      </w:pPr>
      <w:hyperlink r:id="rId9" w:history="1">
        <w:r w:rsidR="00AC6BC0" w:rsidRPr="0065774E">
          <w:rPr>
            <w:rStyle w:val="Lienhypertexte"/>
            <w:rFonts w:cstheme="minorHAnsi"/>
            <w:color w:val="auto"/>
            <w:sz w:val="20"/>
            <w:szCs w:val="20"/>
            <w:u w:val="none"/>
          </w:rPr>
          <w:t>https://www.collectivites-locales.gouv.fr</w:t>
        </w:r>
      </w:hyperlink>
    </w:p>
    <w:sectPr w:rsidR="00AC6BC0" w:rsidRPr="0065774E" w:rsidSect="00D85865">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889C" w14:textId="77777777" w:rsidR="00AD2833" w:rsidRDefault="00AD2833" w:rsidP="005739B0">
      <w:pPr>
        <w:spacing w:after="0"/>
      </w:pPr>
      <w:r>
        <w:separator/>
      </w:r>
    </w:p>
  </w:endnote>
  <w:endnote w:type="continuationSeparator" w:id="0">
    <w:p w14:paraId="413AC352" w14:textId="77777777" w:rsidR="00AD2833" w:rsidRDefault="00AD2833" w:rsidP="00573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24A7D" w14:textId="77777777" w:rsidR="00AD2833" w:rsidRDefault="00AD2833" w:rsidP="005739B0">
      <w:pPr>
        <w:spacing w:after="0"/>
      </w:pPr>
      <w:r>
        <w:separator/>
      </w:r>
    </w:p>
  </w:footnote>
  <w:footnote w:type="continuationSeparator" w:id="0">
    <w:p w14:paraId="483D69ED" w14:textId="77777777" w:rsidR="00AD2833" w:rsidRDefault="00AD2833" w:rsidP="005739B0">
      <w:pPr>
        <w:spacing w:after="0"/>
      </w:pPr>
      <w:r>
        <w:continuationSeparator/>
      </w:r>
    </w:p>
  </w:footnote>
  <w:footnote w:id="1">
    <w:p w14:paraId="7E0E3697" w14:textId="06537A3D" w:rsidR="005549F6" w:rsidRDefault="005549F6">
      <w:pPr>
        <w:pStyle w:val="Notedebasdepage"/>
      </w:pPr>
      <w:r>
        <w:rPr>
          <w:rStyle w:val="Appelnotedebasdep"/>
        </w:rPr>
        <w:footnoteRef/>
      </w:r>
      <w:r>
        <w:t xml:space="preserve"> 7 chemin des prés 73 000 BARBERAZ, </w:t>
      </w:r>
      <w:hyperlink r:id="rId1" w:history="1">
        <w:r w:rsidRPr="00581CC6">
          <w:rPr>
            <w:rStyle w:val="Lienhypertexte"/>
          </w:rPr>
          <w:t>monique.calvi@univ-smb.fr</w:t>
        </w:r>
      </w:hyperlink>
      <w:r>
        <w:t>, MCF Sciences de Gestion, Faculté Droit, Université Savoie-Mont-Blanc</w:t>
      </w:r>
      <w:r w:rsidR="00F75FBA">
        <w:t>, CERAG, UGA</w:t>
      </w:r>
    </w:p>
  </w:footnote>
  <w:footnote w:id="2">
    <w:p w14:paraId="344C5DB3" w14:textId="6CCDB89F" w:rsidR="008D5C1C" w:rsidRPr="00DA7B31" w:rsidRDefault="008D5C1C">
      <w:pPr>
        <w:pStyle w:val="Notedebasdepage"/>
        <w:rPr>
          <w:rFonts w:cstheme="minorHAnsi"/>
        </w:rPr>
      </w:pPr>
      <w:r w:rsidRPr="00DA7B31">
        <w:rPr>
          <w:rStyle w:val="Appelnotedebasdep"/>
          <w:rFonts w:cstheme="minorHAnsi"/>
        </w:rPr>
        <w:footnoteRef/>
      </w:r>
      <w:r w:rsidRPr="00DA7B31">
        <w:rPr>
          <w:rFonts w:cstheme="minorHAnsi"/>
        </w:rPr>
        <w:t xml:space="preserve"> Cités par </w:t>
      </w:r>
      <w:proofErr w:type="spellStart"/>
      <w:r w:rsidRPr="00DA7B31">
        <w:rPr>
          <w:rFonts w:cstheme="minorHAnsi"/>
        </w:rPr>
        <w:t>Kott</w:t>
      </w:r>
      <w:proofErr w:type="spellEnd"/>
      <w:r w:rsidRPr="00DA7B31">
        <w:rPr>
          <w:rFonts w:cstheme="minorHAnsi"/>
        </w:rPr>
        <w:t xml:space="preserve"> (2016, p 1066)</w:t>
      </w:r>
    </w:p>
  </w:footnote>
  <w:footnote w:id="3">
    <w:p w14:paraId="0E71DEE2" w14:textId="77777777" w:rsidR="00A34B26" w:rsidRPr="00DA7B31" w:rsidRDefault="00A34B26" w:rsidP="00A34B26">
      <w:pPr>
        <w:pStyle w:val="Notedebasdepage"/>
        <w:rPr>
          <w:rFonts w:cstheme="minorHAnsi"/>
        </w:rPr>
      </w:pPr>
      <w:r w:rsidRPr="00DA7B31">
        <w:rPr>
          <w:rStyle w:val="Appelnotedebasdep"/>
          <w:rFonts w:cstheme="minorHAnsi"/>
        </w:rPr>
        <w:footnoteRef/>
      </w:r>
      <w:r w:rsidRPr="00DA7B31">
        <w:rPr>
          <w:rFonts w:cstheme="minorHAnsi"/>
        </w:rPr>
        <w:t xml:space="preserve"> Vérification de la réalité de la créance (ou dette) et fixation du montant de la recette (ou dépense).</w:t>
      </w:r>
    </w:p>
  </w:footnote>
  <w:footnote w:id="4">
    <w:p w14:paraId="726BE1A2" w14:textId="77777777" w:rsidR="009F10F0" w:rsidRPr="00DA7B31" w:rsidRDefault="009F10F0">
      <w:pPr>
        <w:pStyle w:val="Notedebasdepage"/>
        <w:rPr>
          <w:rFonts w:cstheme="minorHAnsi"/>
        </w:rPr>
      </w:pPr>
      <w:r w:rsidRPr="00DA7B31">
        <w:rPr>
          <w:rStyle w:val="Appelnotedebasdep"/>
          <w:rFonts w:cstheme="minorHAnsi"/>
        </w:rPr>
        <w:footnoteRef/>
      </w:r>
      <w:r w:rsidRPr="00DA7B31">
        <w:rPr>
          <w:rFonts w:cstheme="minorHAnsi"/>
        </w:rPr>
        <w:t xml:space="preserve"> Ce président est élu au suffrage indirect par les membres de l’assemblée délibérante</w:t>
      </w:r>
    </w:p>
  </w:footnote>
  <w:footnote w:id="5">
    <w:p w14:paraId="2FBBF48C" w14:textId="575E1500" w:rsidR="002C6FBF" w:rsidRPr="00DA7B31" w:rsidRDefault="002C6FBF" w:rsidP="00CF6B40">
      <w:pPr>
        <w:jc w:val="both"/>
        <w:rPr>
          <w:rFonts w:cstheme="minorHAnsi"/>
          <w:sz w:val="20"/>
          <w:szCs w:val="20"/>
        </w:rPr>
      </w:pPr>
      <w:r w:rsidRPr="00DA7B31">
        <w:rPr>
          <w:rStyle w:val="Appelnotedebasdep"/>
          <w:rFonts w:cstheme="minorHAnsi"/>
          <w:sz w:val="20"/>
          <w:szCs w:val="20"/>
        </w:rPr>
        <w:footnoteRef/>
      </w:r>
      <w:r w:rsidRPr="00DA7B31">
        <w:rPr>
          <w:rFonts w:cstheme="minorHAnsi"/>
          <w:sz w:val="20"/>
          <w:szCs w:val="20"/>
        </w:rPr>
        <w:t xml:space="preserve"> </w:t>
      </w:r>
      <w:r w:rsidR="00CF6B40" w:rsidRPr="00DA7B31">
        <w:rPr>
          <w:rFonts w:cstheme="minorHAnsi"/>
          <w:sz w:val="20"/>
          <w:szCs w:val="20"/>
        </w:rPr>
        <w:t xml:space="preserve">Le rapport d’audit devra être communiqué à la C des C et au comptable public de la </w:t>
      </w:r>
      <w:r w:rsidR="00F75FBA">
        <w:rPr>
          <w:rFonts w:cstheme="minorHAnsi"/>
          <w:sz w:val="20"/>
          <w:szCs w:val="20"/>
        </w:rPr>
        <w:t>CT</w:t>
      </w:r>
      <w:r w:rsidR="00CF6B40" w:rsidRPr="00DA7B31">
        <w:rPr>
          <w:rFonts w:cstheme="minorHAnsi"/>
          <w:sz w:val="20"/>
          <w:szCs w:val="20"/>
        </w:rPr>
        <w:t xml:space="preserve"> concernée.</w:t>
      </w:r>
    </w:p>
  </w:footnote>
  <w:footnote w:id="6">
    <w:p w14:paraId="58A15987" w14:textId="77777777" w:rsidR="00D430F2" w:rsidRPr="00DA7B31" w:rsidRDefault="00D430F2" w:rsidP="00D430F2">
      <w:pPr>
        <w:jc w:val="both"/>
        <w:rPr>
          <w:rFonts w:cstheme="minorHAnsi"/>
          <w:sz w:val="20"/>
          <w:szCs w:val="20"/>
        </w:rPr>
      </w:pPr>
      <w:r w:rsidRPr="00DA7B31">
        <w:rPr>
          <w:rStyle w:val="Appelnotedebasdep"/>
          <w:rFonts w:cstheme="minorHAnsi"/>
          <w:sz w:val="20"/>
          <w:szCs w:val="20"/>
        </w:rPr>
        <w:footnoteRef/>
      </w:r>
      <w:r w:rsidRPr="00DA7B31">
        <w:rPr>
          <w:rFonts w:cstheme="minorHAnsi"/>
          <w:sz w:val="20"/>
          <w:szCs w:val="20"/>
        </w:rPr>
        <w:t xml:space="preserve"> Le certificateur aura besoin de documents budgétaires (Etat de consommation de crédits, Etat de réalisations de dépenses, délibération d’affectation de résultat…). </w:t>
      </w:r>
    </w:p>
    <w:p w14:paraId="40F47280" w14:textId="77777777" w:rsidR="00D430F2" w:rsidRPr="00DA7B31" w:rsidRDefault="00D430F2">
      <w:pPr>
        <w:pStyle w:val="Notedebasdepage"/>
        <w:rPr>
          <w:rFonts w:cstheme="minorHAnsi"/>
        </w:rPr>
      </w:pPr>
    </w:p>
  </w:footnote>
  <w:footnote w:id="7">
    <w:p w14:paraId="75B44919" w14:textId="77777777" w:rsidR="001F7B63" w:rsidRPr="00DA7B31" w:rsidRDefault="001F7B63" w:rsidP="007F24CB">
      <w:pPr>
        <w:pStyle w:val="Notedebasdepage"/>
        <w:jc w:val="both"/>
        <w:rPr>
          <w:rFonts w:cstheme="minorHAnsi"/>
        </w:rPr>
      </w:pPr>
      <w:r w:rsidRPr="00DA7B31">
        <w:rPr>
          <w:rStyle w:val="Appelnotedebasdep"/>
          <w:rFonts w:cstheme="minorHAnsi"/>
        </w:rPr>
        <w:footnoteRef/>
      </w:r>
      <w:r w:rsidRPr="00DA7B31">
        <w:rPr>
          <w:rFonts w:cstheme="minorHAnsi"/>
        </w:rPr>
        <w:t xml:space="preserve"> Quatre cas de préjudices : le mandatement d’une dépense par une autorité incompétente, une rémunération sans fondement légal ou réglementaire, l’absence d’écrit, l’octroi ou la perception d’une subvention d’un montant supérieur à 23 000 € sans convention.</w:t>
      </w:r>
    </w:p>
  </w:footnote>
  <w:footnote w:id="8">
    <w:p w14:paraId="20654662" w14:textId="77777777" w:rsidR="004E2CD6" w:rsidRPr="00DA7B31" w:rsidRDefault="004E2CD6" w:rsidP="007F24CB">
      <w:pPr>
        <w:pStyle w:val="Notedebasdepage"/>
        <w:jc w:val="both"/>
        <w:rPr>
          <w:rFonts w:cstheme="minorHAnsi"/>
        </w:rPr>
      </w:pPr>
      <w:r w:rsidRPr="00DA7B31">
        <w:rPr>
          <w:rStyle w:val="Appelnotedebasdep"/>
          <w:rFonts w:cstheme="minorHAnsi"/>
        </w:rPr>
        <w:footnoteRef/>
      </w:r>
      <w:r w:rsidRPr="00DA7B31">
        <w:rPr>
          <w:rFonts w:cstheme="minorHAnsi"/>
        </w:rPr>
        <w:t xml:space="preserve"> </w:t>
      </w:r>
      <w:r w:rsidRPr="00DA7B31">
        <w:rPr>
          <w:rStyle w:val="clearfix"/>
          <w:rFonts w:cstheme="minorHAnsi"/>
        </w:rPr>
        <w:t xml:space="preserve">Sont </w:t>
      </w:r>
      <w:r w:rsidR="002F0FD5" w:rsidRPr="00DA7B31">
        <w:rPr>
          <w:rStyle w:val="lev"/>
          <w:rFonts w:cstheme="minorHAnsi"/>
          <w:b w:val="0"/>
        </w:rPr>
        <w:t>justiciables de cette juridiction</w:t>
      </w:r>
      <w:r w:rsidRPr="00DA7B31">
        <w:rPr>
          <w:rStyle w:val="clearfix"/>
          <w:rFonts w:cstheme="minorHAnsi"/>
        </w:rPr>
        <w:t> : les membres des cabinets ministériels, les fonctionnaires et les personnes liées à un organisme soumis au contrôle de la Cour des comptes s’ils ont participé à des actes de gestion. En revanche, les membres du Gouvernement ne sont pas justiciables de la Cour et les ordonnateurs élus locaux ne le sont que dans des cas exceptionnels.</w:t>
      </w:r>
    </w:p>
  </w:footnote>
  <w:footnote w:id="9">
    <w:p w14:paraId="144AC899" w14:textId="77777777" w:rsidR="00A9531F" w:rsidRPr="00DA7B31" w:rsidRDefault="00A9531F" w:rsidP="00D65011">
      <w:pPr>
        <w:pStyle w:val="Notedebasdepage"/>
        <w:jc w:val="both"/>
        <w:rPr>
          <w:rFonts w:cstheme="minorHAnsi"/>
        </w:rPr>
      </w:pPr>
      <w:r w:rsidRPr="00DA7B31">
        <w:rPr>
          <w:rStyle w:val="Appelnotedebasdep"/>
          <w:rFonts w:cstheme="minorHAnsi"/>
        </w:rPr>
        <w:footnoteRef/>
      </w:r>
      <w:r w:rsidRPr="00DA7B31">
        <w:rPr>
          <w:rFonts w:cstheme="minorHAnsi"/>
        </w:rPr>
        <w:t xml:space="preserve"> Des écarts sont souvent constatés entre la valeur de l’inventaire physique réalisé par l’ordonnateur et la valeur comptable inscrite à l’actif du bilan d’un bien</w:t>
      </w:r>
      <w:r w:rsidR="009D6195" w:rsidRPr="00DA7B31">
        <w:rPr>
          <w:rFonts w:cstheme="minorHAnsi"/>
        </w:rPr>
        <w:t xml:space="preserve"> pa</w:t>
      </w:r>
      <w:r w:rsidRPr="00DA7B31">
        <w:rPr>
          <w:rFonts w:cstheme="minorHAnsi"/>
        </w:rPr>
        <w:t>r le comptable, soit en raison d’une absence d’inventaire soit par défaut de communication entre les deux parties</w:t>
      </w:r>
      <w:r w:rsidR="009752C1" w:rsidRPr="00DA7B31">
        <w:rPr>
          <w:rFonts w:cstheme="minorHAnsi"/>
        </w:rPr>
        <w:t xml:space="preserve">, voir rapport sur le bilan </w:t>
      </w:r>
      <w:r w:rsidR="008B508C" w:rsidRPr="00DA7B31">
        <w:rPr>
          <w:rFonts w:cstheme="minorHAnsi"/>
        </w:rPr>
        <w:t>pour l’expérimentation de la certification des comptes locaux, C des C 19/06/2019.</w:t>
      </w:r>
    </w:p>
    <w:p w14:paraId="13FE4BE8" w14:textId="77777777" w:rsidR="00D430F2" w:rsidRPr="00DA7B31" w:rsidRDefault="00D430F2" w:rsidP="00D65011">
      <w:pPr>
        <w:pStyle w:val="Notedebasdepage"/>
        <w:jc w:val="both"/>
        <w:rPr>
          <w:rFonts w:cstheme="minorHAnsi"/>
        </w:rPr>
      </w:pPr>
      <w:r w:rsidRPr="00DA7B31">
        <w:rPr>
          <w:rFonts w:cstheme="minorHAnsi"/>
        </w:rPr>
        <w:t>Certains éléments de l’Annexe vont être établis par les deux personnes</w:t>
      </w:r>
      <w:r w:rsidR="00785772" w:rsidRPr="00DA7B31">
        <w:rPr>
          <w:rFonts w:cstheme="minorHAnsi"/>
        </w:rPr>
        <w:t xml:space="preserve"> (principes et méthodes comptables, variation du patrimoine, créances, dettes non financières, fonds propres …)</w:t>
      </w:r>
      <w:r w:rsidR="00C13204" w:rsidRPr="00DA7B31">
        <w:rPr>
          <w:rFonts w:cstheme="minorHAnsi"/>
        </w:rPr>
        <w:t>.</w:t>
      </w:r>
    </w:p>
  </w:footnote>
  <w:footnote w:id="10">
    <w:p w14:paraId="1DB2D136" w14:textId="1BEDF49E" w:rsidR="00E668C4" w:rsidRPr="00DA7B31" w:rsidRDefault="00E668C4" w:rsidP="007A643E">
      <w:pPr>
        <w:pStyle w:val="Notedebasdepage"/>
        <w:jc w:val="both"/>
        <w:rPr>
          <w:rFonts w:cstheme="minorHAnsi"/>
        </w:rPr>
      </w:pPr>
      <w:r w:rsidRPr="00DA7B31">
        <w:rPr>
          <w:rStyle w:val="Appelnotedebasdep"/>
          <w:rFonts w:cstheme="minorHAnsi"/>
        </w:rPr>
        <w:footnoteRef/>
      </w:r>
      <w:r w:rsidRPr="00DA7B31">
        <w:rPr>
          <w:rFonts w:cstheme="minorHAnsi"/>
        </w:rPr>
        <w:t xml:space="preserve"> Centre intégré</w:t>
      </w:r>
      <w:r w:rsidR="00D91B9E">
        <w:rPr>
          <w:rFonts w:cstheme="minorHAnsi"/>
        </w:rPr>
        <w:t xml:space="preserve"> </w:t>
      </w:r>
      <w:r w:rsidR="00D91B9E" w:rsidRPr="00DA7B31">
        <w:rPr>
          <w:rFonts w:cstheme="minorHAnsi"/>
        </w:rPr>
        <w:t>: point d’entrée unique des factures, qui les reçoit, les numérise et les liquide grâce à un progiciel de gestion</w:t>
      </w:r>
    </w:p>
  </w:footnote>
  <w:footnote w:id="11">
    <w:p w14:paraId="7010B47E" w14:textId="581BA398" w:rsidR="00D65011" w:rsidRPr="00DA7B31" w:rsidRDefault="00D65011" w:rsidP="007A643E">
      <w:pPr>
        <w:pStyle w:val="Notedebasdepage"/>
        <w:jc w:val="both"/>
        <w:rPr>
          <w:rFonts w:cstheme="minorHAnsi"/>
        </w:rPr>
      </w:pPr>
      <w:r w:rsidRPr="00DA7B31">
        <w:rPr>
          <w:rStyle w:val="Appelnotedebasdep"/>
          <w:rFonts w:cstheme="minorHAnsi"/>
        </w:rPr>
        <w:footnoteRef/>
      </w:r>
      <w:r w:rsidRPr="00DA7B31">
        <w:rPr>
          <w:rFonts w:cstheme="minorHAnsi"/>
        </w:rPr>
        <w:t xml:space="preserve"> Remplacement du contrôle exhaustif de tous les mandats de dépenses par un système de contrôle diversifié (le contrôle par sondage devient le principe pour les dépenses à risques faibles ou modérés, maintien de contrôles renforcés lorsque les procédures sont insuffisamment sécurisées dans les services ordonnateurs)</w:t>
      </w:r>
      <w:r w:rsidR="001722D3" w:rsidRPr="00DA7B31">
        <w:rPr>
          <w:rFonts w:cstheme="minorHAnsi"/>
        </w:rPr>
        <w:t>.</w:t>
      </w:r>
    </w:p>
  </w:footnote>
  <w:footnote w:id="12">
    <w:p w14:paraId="4BE94899" w14:textId="77777777" w:rsidR="004726C8" w:rsidRPr="00DA7B31" w:rsidRDefault="004726C8" w:rsidP="007A643E">
      <w:pPr>
        <w:pStyle w:val="Notedebasdepage"/>
        <w:jc w:val="both"/>
        <w:rPr>
          <w:rFonts w:cstheme="minorHAnsi"/>
        </w:rPr>
      </w:pPr>
      <w:r w:rsidRPr="00DA7B31">
        <w:rPr>
          <w:rStyle w:val="Appelnotedebasdep"/>
          <w:rFonts w:cstheme="minorHAnsi"/>
        </w:rPr>
        <w:footnoteRef/>
      </w:r>
      <w:r w:rsidRPr="00DA7B31">
        <w:rPr>
          <w:rFonts w:cstheme="minorHAnsi"/>
        </w:rPr>
        <w:t xml:space="preserve"> </w:t>
      </w:r>
      <w:r w:rsidR="00195027" w:rsidRPr="00DA7B31">
        <w:rPr>
          <w:rFonts w:cstheme="minorHAnsi"/>
        </w:rPr>
        <w:t>Service chargé d’émettre et d’enregistrer les factures et les titres de recettes mais aussi de les recouvrer, sous l’autorité du comptable.</w:t>
      </w:r>
    </w:p>
  </w:footnote>
  <w:footnote w:id="13">
    <w:p w14:paraId="4F92F51D" w14:textId="72BF862E" w:rsidR="00BC55E5" w:rsidRPr="00DA7B31" w:rsidRDefault="00BC55E5" w:rsidP="007A643E">
      <w:pPr>
        <w:pStyle w:val="Notedebasdepage"/>
        <w:jc w:val="both"/>
        <w:rPr>
          <w:rFonts w:cstheme="minorHAnsi"/>
        </w:rPr>
      </w:pPr>
      <w:r w:rsidRPr="00DA7B31">
        <w:rPr>
          <w:rStyle w:val="Appelnotedebasdep"/>
          <w:rFonts w:cstheme="minorHAnsi"/>
        </w:rPr>
        <w:footnoteRef/>
      </w:r>
      <w:r w:rsidRPr="00DA7B31">
        <w:rPr>
          <w:rFonts w:cstheme="minorHAnsi"/>
        </w:rPr>
        <w:t xml:space="preserve"> </w:t>
      </w:r>
      <w:r w:rsidR="00D62BB6" w:rsidRPr="00DA7B31">
        <w:rPr>
          <w:rFonts w:cstheme="minorHAnsi"/>
        </w:rPr>
        <w:t>Initiée en 2007</w:t>
      </w:r>
      <w:r w:rsidR="00FF27BB" w:rsidRPr="00DA7B31">
        <w:rPr>
          <w:rFonts w:cstheme="minorHAnsi"/>
        </w:rPr>
        <w:t>, se généralise.</w:t>
      </w:r>
    </w:p>
  </w:footnote>
  <w:footnote w:id="14">
    <w:p w14:paraId="53D24A14" w14:textId="77777777" w:rsidR="008B508C" w:rsidRPr="00DA7B31" w:rsidRDefault="008B508C">
      <w:pPr>
        <w:pStyle w:val="Notedebasdepage"/>
        <w:rPr>
          <w:rFonts w:cstheme="minorHAnsi"/>
        </w:rPr>
      </w:pPr>
      <w:r w:rsidRPr="00DA7B31">
        <w:rPr>
          <w:rStyle w:val="Appelnotedebasdep"/>
          <w:rFonts w:cstheme="minorHAnsi"/>
        </w:rPr>
        <w:footnoteRef/>
      </w:r>
      <w:r w:rsidRPr="00DA7B31">
        <w:rPr>
          <w:rFonts w:cstheme="minorHAnsi"/>
        </w:rPr>
        <w:t xml:space="preserve"> Rapport déjà cité</w:t>
      </w:r>
    </w:p>
  </w:footnote>
  <w:footnote w:id="15">
    <w:p w14:paraId="4570B45C" w14:textId="016BEF2B" w:rsidR="00091137" w:rsidRPr="00DA7B31" w:rsidRDefault="00091137" w:rsidP="00844F03">
      <w:pPr>
        <w:pStyle w:val="Notedebasdepage"/>
        <w:jc w:val="both"/>
        <w:rPr>
          <w:rFonts w:cstheme="minorHAnsi"/>
        </w:rPr>
      </w:pPr>
      <w:r w:rsidRPr="00DA7B31">
        <w:rPr>
          <w:rStyle w:val="Appelnotedebasdep"/>
          <w:rFonts w:cstheme="minorHAnsi"/>
        </w:rPr>
        <w:footnoteRef/>
      </w:r>
      <w:r w:rsidRPr="00DA7B31">
        <w:rPr>
          <w:rFonts w:cstheme="minorHAnsi"/>
        </w:rPr>
        <w:t xml:space="preserve"> Depuis 2003</w:t>
      </w:r>
      <w:r w:rsidR="00844F03" w:rsidRPr="00DA7B31">
        <w:rPr>
          <w:rFonts w:cstheme="minorHAnsi"/>
        </w:rPr>
        <w:t xml:space="preserve">, les </w:t>
      </w:r>
      <w:r w:rsidR="008B4EA7" w:rsidRPr="00DA7B31">
        <w:rPr>
          <w:rFonts w:cstheme="minorHAnsi"/>
        </w:rPr>
        <w:t>C</w:t>
      </w:r>
      <w:r w:rsidR="001B30E8">
        <w:rPr>
          <w:rFonts w:cstheme="minorHAnsi"/>
        </w:rPr>
        <w:t>T</w:t>
      </w:r>
      <w:r w:rsidR="00844F03" w:rsidRPr="00DA7B31">
        <w:rPr>
          <w:rFonts w:cstheme="minorHAnsi"/>
        </w:rPr>
        <w:t xml:space="preserve"> de grande taille (+ de 100 000 habitants) peuvent signer une convention de services comptables et financiers avec la DGFIP et depuis 2010, les communes de moins de 100 000 habitants peuvent bénéficier d’un engagement partenarial avec elle. Le but de ces conventions est d’améliorer l’efficacité des circuits comptables, des services de l’ordonnateur et du comptable et du service rendu aux usagers.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899961"/>
      <w:docPartObj>
        <w:docPartGallery w:val="Page Numbers (Top of Page)"/>
        <w:docPartUnique/>
      </w:docPartObj>
    </w:sdtPr>
    <w:sdtEndPr/>
    <w:sdtContent>
      <w:p w14:paraId="3EDEEC76" w14:textId="77777777" w:rsidR="005739B0" w:rsidRDefault="005739B0">
        <w:pPr>
          <w:pStyle w:val="En-tte"/>
          <w:jc w:val="center"/>
        </w:pPr>
        <w:r>
          <w:fldChar w:fldCharType="begin"/>
        </w:r>
        <w:r>
          <w:instrText>PAGE   \* MERGEFORMAT</w:instrText>
        </w:r>
        <w:r>
          <w:fldChar w:fldCharType="separate"/>
        </w:r>
        <w:r w:rsidR="00391B16">
          <w:rPr>
            <w:noProof/>
          </w:rPr>
          <w:t>10</w:t>
        </w:r>
        <w:r>
          <w:fldChar w:fldCharType="end"/>
        </w:r>
      </w:p>
    </w:sdtContent>
  </w:sdt>
  <w:p w14:paraId="09223FEA" w14:textId="77777777" w:rsidR="005739B0" w:rsidRDefault="005739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A2C"/>
    <w:multiLevelType w:val="hybridMultilevel"/>
    <w:tmpl w:val="CECE6D54"/>
    <w:lvl w:ilvl="0" w:tplc="33CC61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FF32BE"/>
    <w:multiLevelType w:val="multilevel"/>
    <w:tmpl w:val="DA36F8F4"/>
    <w:lvl w:ilvl="0">
      <w:start w:val="1"/>
      <w:numFmt w:val="decimal"/>
      <w:lvlText w:val="%1."/>
      <w:lvlJc w:val="left"/>
      <w:pPr>
        <w:ind w:left="360" w:hanging="360"/>
      </w:pPr>
      <w:rPr>
        <w:rFonts w:hint="default"/>
      </w:rPr>
    </w:lvl>
    <w:lvl w:ilvl="1">
      <w:start w:val="1"/>
      <w:numFmt w:val="decimal"/>
      <w:isLgl/>
      <w:lvlText w:val="%1.%2."/>
      <w:lvlJc w:val="left"/>
      <w:pPr>
        <w:ind w:left="58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1390A98"/>
    <w:multiLevelType w:val="hybridMultilevel"/>
    <w:tmpl w:val="B93CDE70"/>
    <w:lvl w:ilvl="0" w:tplc="EAA69654">
      <w:numFmt w:val="bullet"/>
      <w:lvlText w:val="-"/>
      <w:lvlJc w:val="left"/>
      <w:pPr>
        <w:ind w:left="1995" w:hanging="360"/>
      </w:pPr>
      <w:rPr>
        <w:rFonts w:ascii="Times New Roman" w:eastAsiaTheme="minorHAnsi" w:hAnsi="Times New Roman" w:cs="Times New Roman"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3" w15:restartNumberingAfterBreak="0">
    <w:nsid w:val="38170AF0"/>
    <w:multiLevelType w:val="hybridMultilevel"/>
    <w:tmpl w:val="7B70D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7D52AF"/>
    <w:multiLevelType w:val="hybridMultilevel"/>
    <w:tmpl w:val="25DCD896"/>
    <w:lvl w:ilvl="0" w:tplc="A4CEDD7E">
      <w:start w:val="1"/>
      <w:numFmt w:val="upp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26552A"/>
    <w:multiLevelType w:val="multilevel"/>
    <w:tmpl w:val="D730EC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96175"/>
    <w:multiLevelType w:val="hybridMultilevel"/>
    <w:tmpl w:val="1EAE72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B515A9"/>
    <w:multiLevelType w:val="hybridMultilevel"/>
    <w:tmpl w:val="2D882E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128AA"/>
    <w:multiLevelType w:val="multilevel"/>
    <w:tmpl w:val="89F4C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CC1E37"/>
    <w:multiLevelType w:val="multilevel"/>
    <w:tmpl w:val="BBD6B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1C3706"/>
    <w:multiLevelType w:val="multilevel"/>
    <w:tmpl w:val="4CC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27FCE"/>
    <w:multiLevelType w:val="multilevel"/>
    <w:tmpl w:val="AEEC18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0"/>
  </w:num>
  <w:num w:numId="4">
    <w:abstractNumId w:val="6"/>
  </w:num>
  <w:num w:numId="5">
    <w:abstractNumId w:val="7"/>
  </w:num>
  <w:num w:numId="6">
    <w:abstractNumId w:val="0"/>
  </w:num>
  <w:num w:numId="7">
    <w:abstractNumId w:val="4"/>
  </w:num>
  <w:num w:numId="8">
    <w:abstractNumId w:val="1"/>
  </w:num>
  <w:num w:numId="9">
    <w:abstractNumId w:val="8"/>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80"/>
    <w:rsid w:val="000013C3"/>
    <w:rsid w:val="000013E1"/>
    <w:rsid w:val="00001D67"/>
    <w:rsid w:val="00006BAC"/>
    <w:rsid w:val="0001012A"/>
    <w:rsid w:val="00012F6B"/>
    <w:rsid w:val="000247A0"/>
    <w:rsid w:val="00032FA5"/>
    <w:rsid w:val="0003315C"/>
    <w:rsid w:val="00034F84"/>
    <w:rsid w:val="00035021"/>
    <w:rsid w:val="00036A24"/>
    <w:rsid w:val="00066B34"/>
    <w:rsid w:val="000672D9"/>
    <w:rsid w:val="00076FF4"/>
    <w:rsid w:val="000818F6"/>
    <w:rsid w:val="00081EA9"/>
    <w:rsid w:val="0008370A"/>
    <w:rsid w:val="00084BA4"/>
    <w:rsid w:val="00091137"/>
    <w:rsid w:val="000931EA"/>
    <w:rsid w:val="00093E0B"/>
    <w:rsid w:val="0009586C"/>
    <w:rsid w:val="00097B0B"/>
    <w:rsid w:val="000A23D5"/>
    <w:rsid w:val="000A2504"/>
    <w:rsid w:val="000A2B82"/>
    <w:rsid w:val="000B005F"/>
    <w:rsid w:val="000D162C"/>
    <w:rsid w:val="000D1D52"/>
    <w:rsid w:val="000D29A0"/>
    <w:rsid w:val="000D61C5"/>
    <w:rsid w:val="000E7516"/>
    <w:rsid w:val="000F5FCD"/>
    <w:rsid w:val="000F637B"/>
    <w:rsid w:val="000F7BCC"/>
    <w:rsid w:val="001007ED"/>
    <w:rsid w:val="00102BD3"/>
    <w:rsid w:val="00105E49"/>
    <w:rsid w:val="00106098"/>
    <w:rsid w:val="00113A71"/>
    <w:rsid w:val="00115A90"/>
    <w:rsid w:val="00121004"/>
    <w:rsid w:val="00122F0E"/>
    <w:rsid w:val="00123AE4"/>
    <w:rsid w:val="00124A34"/>
    <w:rsid w:val="0012710A"/>
    <w:rsid w:val="00131644"/>
    <w:rsid w:val="0013492B"/>
    <w:rsid w:val="00141DD4"/>
    <w:rsid w:val="0014590F"/>
    <w:rsid w:val="001463C4"/>
    <w:rsid w:val="001509EE"/>
    <w:rsid w:val="00151856"/>
    <w:rsid w:val="001528A1"/>
    <w:rsid w:val="00154726"/>
    <w:rsid w:val="0015653D"/>
    <w:rsid w:val="00160856"/>
    <w:rsid w:val="00166082"/>
    <w:rsid w:val="001714C7"/>
    <w:rsid w:val="00171A1A"/>
    <w:rsid w:val="001722D3"/>
    <w:rsid w:val="00184C16"/>
    <w:rsid w:val="00185FF1"/>
    <w:rsid w:val="00186B36"/>
    <w:rsid w:val="00186E90"/>
    <w:rsid w:val="00187B38"/>
    <w:rsid w:val="00190B40"/>
    <w:rsid w:val="00195027"/>
    <w:rsid w:val="00195DA4"/>
    <w:rsid w:val="001A6AF8"/>
    <w:rsid w:val="001A7291"/>
    <w:rsid w:val="001B30E8"/>
    <w:rsid w:val="001B5DFE"/>
    <w:rsid w:val="001B5F50"/>
    <w:rsid w:val="001B6DD6"/>
    <w:rsid w:val="001B7AED"/>
    <w:rsid w:val="001C0F97"/>
    <w:rsid w:val="001C2E9A"/>
    <w:rsid w:val="001C33E7"/>
    <w:rsid w:val="001E1012"/>
    <w:rsid w:val="001E11D0"/>
    <w:rsid w:val="001E7F76"/>
    <w:rsid w:val="001F016D"/>
    <w:rsid w:val="001F1EB9"/>
    <w:rsid w:val="001F7B63"/>
    <w:rsid w:val="002038D3"/>
    <w:rsid w:val="00204854"/>
    <w:rsid w:val="00205403"/>
    <w:rsid w:val="0020685F"/>
    <w:rsid w:val="00207723"/>
    <w:rsid w:val="00210D67"/>
    <w:rsid w:val="00212D68"/>
    <w:rsid w:val="0022377B"/>
    <w:rsid w:val="00224E4C"/>
    <w:rsid w:val="00224FC5"/>
    <w:rsid w:val="00235A4C"/>
    <w:rsid w:val="00235D2B"/>
    <w:rsid w:val="00242A76"/>
    <w:rsid w:val="0024496C"/>
    <w:rsid w:val="002467AE"/>
    <w:rsid w:val="0024760B"/>
    <w:rsid w:val="0025452A"/>
    <w:rsid w:val="00254D41"/>
    <w:rsid w:val="00257951"/>
    <w:rsid w:val="00267634"/>
    <w:rsid w:val="00270288"/>
    <w:rsid w:val="00276E50"/>
    <w:rsid w:val="00282F2F"/>
    <w:rsid w:val="00283BB6"/>
    <w:rsid w:val="00283E65"/>
    <w:rsid w:val="00285D55"/>
    <w:rsid w:val="00286372"/>
    <w:rsid w:val="0028645E"/>
    <w:rsid w:val="002874DE"/>
    <w:rsid w:val="00293725"/>
    <w:rsid w:val="002A1EB6"/>
    <w:rsid w:val="002A43AF"/>
    <w:rsid w:val="002A6AC2"/>
    <w:rsid w:val="002B1D66"/>
    <w:rsid w:val="002B2DB0"/>
    <w:rsid w:val="002B363B"/>
    <w:rsid w:val="002B47EA"/>
    <w:rsid w:val="002B5388"/>
    <w:rsid w:val="002C2303"/>
    <w:rsid w:val="002C33B7"/>
    <w:rsid w:val="002C508E"/>
    <w:rsid w:val="002C5103"/>
    <w:rsid w:val="002C6FBF"/>
    <w:rsid w:val="002D2C38"/>
    <w:rsid w:val="002D5E7B"/>
    <w:rsid w:val="002D6680"/>
    <w:rsid w:val="002D701D"/>
    <w:rsid w:val="002D7FEF"/>
    <w:rsid w:val="002E6E76"/>
    <w:rsid w:val="002F0FD5"/>
    <w:rsid w:val="002F31B5"/>
    <w:rsid w:val="002F7FE3"/>
    <w:rsid w:val="00306CDA"/>
    <w:rsid w:val="00306FA7"/>
    <w:rsid w:val="00311BB0"/>
    <w:rsid w:val="0031438A"/>
    <w:rsid w:val="00315F03"/>
    <w:rsid w:val="00316897"/>
    <w:rsid w:val="00321475"/>
    <w:rsid w:val="003244CA"/>
    <w:rsid w:val="00330272"/>
    <w:rsid w:val="00330AA5"/>
    <w:rsid w:val="003352B4"/>
    <w:rsid w:val="00335A33"/>
    <w:rsid w:val="00335C44"/>
    <w:rsid w:val="0035265E"/>
    <w:rsid w:val="00354A2C"/>
    <w:rsid w:val="0036193D"/>
    <w:rsid w:val="00366970"/>
    <w:rsid w:val="00367096"/>
    <w:rsid w:val="00376CEB"/>
    <w:rsid w:val="00377408"/>
    <w:rsid w:val="003774B8"/>
    <w:rsid w:val="0038017F"/>
    <w:rsid w:val="00381A46"/>
    <w:rsid w:val="0038751E"/>
    <w:rsid w:val="00390070"/>
    <w:rsid w:val="003901CE"/>
    <w:rsid w:val="00391B16"/>
    <w:rsid w:val="00394468"/>
    <w:rsid w:val="003955C0"/>
    <w:rsid w:val="003A100D"/>
    <w:rsid w:val="003A3E64"/>
    <w:rsid w:val="003A6EDC"/>
    <w:rsid w:val="003A78E0"/>
    <w:rsid w:val="003B0378"/>
    <w:rsid w:val="003B089A"/>
    <w:rsid w:val="003B1960"/>
    <w:rsid w:val="003B4C15"/>
    <w:rsid w:val="003C0E2C"/>
    <w:rsid w:val="003C108B"/>
    <w:rsid w:val="003C2206"/>
    <w:rsid w:val="003C4FE3"/>
    <w:rsid w:val="003D029F"/>
    <w:rsid w:val="003E03B5"/>
    <w:rsid w:val="003E0411"/>
    <w:rsid w:val="003E16BE"/>
    <w:rsid w:val="003E78D5"/>
    <w:rsid w:val="003F22F7"/>
    <w:rsid w:val="003F2667"/>
    <w:rsid w:val="003F2D2B"/>
    <w:rsid w:val="003F3F1F"/>
    <w:rsid w:val="003F47F6"/>
    <w:rsid w:val="003F54E4"/>
    <w:rsid w:val="00400912"/>
    <w:rsid w:val="004014BA"/>
    <w:rsid w:val="00403CC7"/>
    <w:rsid w:val="00410303"/>
    <w:rsid w:val="00410DB3"/>
    <w:rsid w:val="00416765"/>
    <w:rsid w:val="00420444"/>
    <w:rsid w:val="00423C78"/>
    <w:rsid w:val="00424406"/>
    <w:rsid w:val="00425F3A"/>
    <w:rsid w:val="00426008"/>
    <w:rsid w:val="00427D1C"/>
    <w:rsid w:val="00427E5D"/>
    <w:rsid w:val="00431E4B"/>
    <w:rsid w:val="00431EC1"/>
    <w:rsid w:val="00435CF7"/>
    <w:rsid w:val="0044224C"/>
    <w:rsid w:val="00445AD4"/>
    <w:rsid w:val="00446933"/>
    <w:rsid w:val="00446A8F"/>
    <w:rsid w:val="00450ABA"/>
    <w:rsid w:val="00453159"/>
    <w:rsid w:val="004558E5"/>
    <w:rsid w:val="00456880"/>
    <w:rsid w:val="00462086"/>
    <w:rsid w:val="004621B1"/>
    <w:rsid w:val="004622D0"/>
    <w:rsid w:val="00464153"/>
    <w:rsid w:val="004645D3"/>
    <w:rsid w:val="00471DB0"/>
    <w:rsid w:val="004726C8"/>
    <w:rsid w:val="004743EA"/>
    <w:rsid w:val="0047556B"/>
    <w:rsid w:val="00477AD5"/>
    <w:rsid w:val="00481EAF"/>
    <w:rsid w:val="00483A23"/>
    <w:rsid w:val="0048727B"/>
    <w:rsid w:val="00490038"/>
    <w:rsid w:val="004910F8"/>
    <w:rsid w:val="004927A4"/>
    <w:rsid w:val="004A12BF"/>
    <w:rsid w:val="004A1686"/>
    <w:rsid w:val="004B03BA"/>
    <w:rsid w:val="004B0B80"/>
    <w:rsid w:val="004B3846"/>
    <w:rsid w:val="004B734B"/>
    <w:rsid w:val="004C0742"/>
    <w:rsid w:val="004C457C"/>
    <w:rsid w:val="004C50EE"/>
    <w:rsid w:val="004C6915"/>
    <w:rsid w:val="004D4731"/>
    <w:rsid w:val="004D4EDF"/>
    <w:rsid w:val="004D5BF2"/>
    <w:rsid w:val="004E2CD6"/>
    <w:rsid w:val="004F08FC"/>
    <w:rsid w:val="004F230A"/>
    <w:rsid w:val="004F3CE1"/>
    <w:rsid w:val="004F5B45"/>
    <w:rsid w:val="004F64B0"/>
    <w:rsid w:val="00502E04"/>
    <w:rsid w:val="0050461A"/>
    <w:rsid w:val="0050554D"/>
    <w:rsid w:val="0050586F"/>
    <w:rsid w:val="0050685B"/>
    <w:rsid w:val="0051089A"/>
    <w:rsid w:val="005121AC"/>
    <w:rsid w:val="005142CD"/>
    <w:rsid w:val="00521805"/>
    <w:rsid w:val="005369B8"/>
    <w:rsid w:val="00536C39"/>
    <w:rsid w:val="00541383"/>
    <w:rsid w:val="0054398F"/>
    <w:rsid w:val="005440D3"/>
    <w:rsid w:val="00546009"/>
    <w:rsid w:val="0054638C"/>
    <w:rsid w:val="005549F6"/>
    <w:rsid w:val="00556C1F"/>
    <w:rsid w:val="00556E94"/>
    <w:rsid w:val="005571C0"/>
    <w:rsid w:val="00572C95"/>
    <w:rsid w:val="005739B0"/>
    <w:rsid w:val="00574DDF"/>
    <w:rsid w:val="00580A3F"/>
    <w:rsid w:val="00580F76"/>
    <w:rsid w:val="00582CC2"/>
    <w:rsid w:val="00584730"/>
    <w:rsid w:val="00585B6B"/>
    <w:rsid w:val="0059086B"/>
    <w:rsid w:val="00594D75"/>
    <w:rsid w:val="005A149B"/>
    <w:rsid w:val="005A234C"/>
    <w:rsid w:val="005A37DF"/>
    <w:rsid w:val="005A5219"/>
    <w:rsid w:val="005A6335"/>
    <w:rsid w:val="005A6FCF"/>
    <w:rsid w:val="005A7777"/>
    <w:rsid w:val="005A7C41"/>
    <w:rsid w:val="005B3DFC"/>
    <w:rsid w:val="005B636E"/>
    <w:rsid w:val="005B6405"/>
    <w:rsid w:val="005B7D51"/>
    <w:rsid w:val="005C1D52"/>
    <w:rsid w:val="005C2E19"/>
    <w:rsid w:val="005C435A"/>
    <w:rsid w:val="005C6E3E"/>
    <w:rsid w:val="005C78A7"/>
    <w:rsid w:val="005D1653"/>
    <w:rsid w:val="005D2516"/>
    <w:rsid w:val="005D42D2"/>
    <w:rsid w:val="005D563D"/>
    <w:rsid w:val="005E03DF"/>
    <w:rsid w:val="005E5C8C"/>
    <w:rsid w:val="005E7BEB"/>
    <w:rsid w:val="005F1255"/>
    <w:rsid w:val="005F3956"/>
    <w:rsid w:val="00601892"/>
    <w:rsid w:val="00601E16"/>
    <w:rsid w:val="00607D8D"/>
    <w:rsid w:val="0061007E"/>
    <w:rsid w:val="00611C26"/>
    <w:rsid w:val="006148C3"/>
    <w:rsid w:val="006155C6"/>
    <w:rsid w:val="006156BE"/>
    <w:rsid w:val="0061599C"/>
    <w:rsid w:val="00617837"/>
    <w:rsid w:val="00620E10"/>
    <w:rsid w:val="0062463D"/>
    <w:rsid w:val="006256BE"/>
    <w:rsid w:val="006278ED"/>
    <w:rsid w:val="006326B7"/>
    <w:rsid w:val="006326D9"/>
    <w:rsid w:val="00641A12"/>
    <w:rsid w:val="006464C1"/>
    <w:rsid w:val="00651B46"/>
    <w:rsid w:val="00652CE5"/>
    <w:rsid w:val="00656256"/>
    <w:rsid w:val="00657595"/>
    <w:rsid w:val="0065774E"/>
    <w:rsid w:val="00666708"/>
    <w:rsid w:val="00667471"/>
    <w:rsid w:val="006733B9"/>
    <w:rsid w:val="00677407"/>
    <w:rsid w:val="00682290"/>
    <w:rsid w:val="00682AF0"/>
    <w:rsid w:val="006853BE"/>
    <w:rsid w:val="0069041A"/>
    <w:rsid w:val="00690B0B"/>
    <w:rsid w:val="00691403"/>
    <w:rsid w:val="00694582"/>
    <w:rsid w:val="006A0699"/>
    <w:rsid w:val="006A39A6"/>
    <w:rsid w:val="006A44DF"/>
    <w:rsid w:val="006A5349"/>
    <w:rsid w:val="006A58EB"/>
    <w:rsid w:val="006B0ADE"/>
    <w:rsid w:val="006B3576"/>
    <w:rsid w:val="006B5374"/>
    <w:rsid w:val="006B73F5"/>
    <w:rsid w:val="006C3FC3"/>
    <w:rsid w:val="006C465F"/>
    <w:rsid w:val="006D23C3"/>
    <w:rsid w:val="006D5E4F"/>
    <w:rsid w:val="006E42DC"/>
    <w:rsid w:val="006E5FBC"/>
    <w:rsid w:val="006F429B"/>
    <w:rsid w:val="006F79B9"/>
    <w:rsid w:val="007018D0"/>
    <w:rsid w:val="00702F49"/>
    <w:rsid w:val="007105D1"/>
    <w:rsid w:val="0071557F"/>
    <w:rsid w:val="00717E24"/>
    <w:rsid w:val="00721B80"/>
    <w:rsid w:val="007228E1"/>
    <w:rsid w:val="00722B05"/>
    <w:rsid w:val="00723C81"/>
    <w:rsid w:val="00727DDA"/>
    <w:rsid w:val="007330E0"/>
    <w:rsid w:val="00733F95"/>
    <w:rsid w:val="00734C0D"/>
    <w:rsid w:val="00743DE9"/>
    <w:rsid w:val="00744B12"/>
    <w:rsid w:val="007462F4"/>
    <w:rsid w:val="00751147"/>
    <w:rsid w:val="00753D92"/>
    <w:rsid w:val="00757B34"/>
    <w:rsid w:val="007605A2"/>
    <w:rsid w:val="00761ECD"/>
    <w:rsid w:val="00766769"/>
    <w:rsid w:val="00772A5D"/>
    <w:rsid w:val="007749FD"/>
    <w:rsid w:val="00775C51"/>
    <w:rsid w:val="0077772A"/>
    <w:rsid w:val="00777973"/>
    <w:rsid w:val="00781E2B"/>
    <w:rsid w:val="0078346C"/>
    <w:rsid w:val="007839B2"/>
    <w:rsid w:val="007843DA"/>
    <w:rsid w:val="00785772"/>
    <w:rsid w:val="00785D26"/>
    <w:rsid w:val="00790184"/>
    <w:rsid w:val="007925D5"/>
    <w:rsid w:val="00792A86"/>
    <w:rsid w:val="00795D28"/>
    <w:rsid w:val="0079695B"/>
    <w:rsid w:val="007A1702"/>
    <w:rsid w:val="007A3081"/>
    <w:rsid w:val="007A604F"/>
    <w:rsid w:val="007A643E"/>
    <w:rsid w:val="007B38A1"/>
    <w:rsid w:val="007B5EA0"/>
    <w:rsid w:val="007C0405"/>
    <w:rsid w:val="007C14A2"/>
    <w:rsid w:val="007D22AB"/>
    <w:rsid w:val="007D3E83"/>
    <w:rsid w:val="007D618C"/>
    <w:rsid w:val="007E10F9"/>
    <w:rsid w:val="007E5049"/>
    <w:rsid w:val="007E619C"/>
    <w:rsid w:val="007F03DC"/>
    <w:rsid w:val="007F07CA"/>
    <w:rsid w:val="007F1CA5"/>
    <w:rsid w:val="007F24CB"/>
    <w:rsid w:val="007F308C"/>
    <w:rsid w:val="007F34B8"/>
    <w:rsid w:val="007F71E4"/>
    <w:rsid w:val="00803188"/>
    <w:rsid w:val="00810702"/>
    <w:rsid w:val="008108D9"/>
    <w:rsid w:val="00810A39"/>
    <w:rsid w:val="00812E8F"/>
    <w:rsid w:val="008206F8"/>
    <w:rsid w:val="00820E30"/>
    <w:rsid w:val="008211C8"/>
    <w:rsid w:val="00826EE1"/>
    <w:rsid w:val="0084268F"/>
    <w:rsid w:val="008428EC"/>
    <w:rsid w:val="008439B3"/>
    <w:rsid w:val="00844F03"/>
    <w:rsid w:val="00852A8A"/>
    <w:rsid w:val="0086034D"/>
    <w:rsid w:val="008627CB"/>
    <w:rsid w:val="0086284F"/>
    <w:rsid w:val="00863E4E"/>
    <w:rsid w:val="00872E64"/>
    <w:rsid w:val="00873DA7"/>
    <w:rsid w:val="008750BE"/>
    <w:rsid w:val="008752BE"/>
    <w:rsid w:val="00875313"/>
    <w:rsid w:val="00875FE4"/>
    <w:rsid w:val="0088376F"/>
    <w:rsid w:val="008931FF"/>
    <w:rsid w:val="008964CB"/>
    <w:rsid w:val="008A4D68"/>
    <w:rsid w:val="008A4FF9"/>
    <w:rsid w:val="008A59C2"/>
    <w:rsid w:val="008A61F8"/>
    <w:rsid w:val="008A78FF"/>
    <w:rsid w:val="008B3D5C"/>
    <w:rsid w:val="008B4EA7"/>
    <w:rsid w:val="008B508C"/>
    <w:rsid w:val="008B71B7"/>
    <w:rsid w:val="008C0829"/>
    <w:rsid w:val="008C1A64"/>
    <w:rsid w:val="008C28C6"/>
    <w:rsid w:val="008C579A"/>
    <w:rsid w:val="008D17DF"/>
    <w:rsid w:val="008D31C1"/>
    <w:rsid w:val="008D43A5"/>
    <w:rsid w:val="008D4467"/>
    <w:rsid w:val="008D5817"/>
    <w:rsid w:val="008D5C1C"/>
    <w:rsid w:val="008D67AA"/>
    <w:rsid w:val="008E10A3"/>
    <w:rsid w:val="008E25F4"/>
    <w:rsid w:val="008E3059"/>
    <w:rsid w:val="0090535D"/>
    <w:rsid w:val="00910532"/>
    <w:rsid w:val="009107E6"/>
    <w:rsid w:val="00912DD2"/>
    <w:rsid w:val="009145FD"/>
    <w:rsid w:val="00921738"/>
    <w:rsid w:val="0092289B"/>
    <w:rsid w:val="00922932"/>
    <w:rsid w:val="00924DF2"/>
    <w:rsid w:val="00926578"/>
    <w:rsid w:val="00930A71"/>
    <w:rsid w:val="00932E08"/>
    <w:rsid w:val="00933CA0"/>
    <w:rsid w:val="009347E0"/>
    <w:rsid w:val="00934ABB"/>
    <w:rsid w:val="009362C6"/>
    <w:rsid w:val="00937BE0"/>
    <w:rsid w:val="009406E1"/>
    <w:rsid w:val="00943C1F"/>
    <w:rsid w:val="00945DE8"/>
    <w:rsid w:val="0096388D"/>
    <w:rsid w:val="009642E1"/>
    <w:rsid w:val="00964786"/>
    <w:rsid w:val="00970CA1"/>
    <w:rsid w:val="00973875"/>
    <w:rsid w:val="00974802"/>
    <w:rsid w:val="00974FD2"/>
    <w:rsid w:val="009752C1"/>
    <w:rsid w:val="00981097"/>
    <w:rsid w:val="00983EB5"/>
    <w:rsid w:val="00993996"/>
    <w:rsid w:val="00993ADB"/>
    <w:rsid w:val="00994F3F"/>
    <w:rsid w:val="0099604F"/>
    <w:rsid w:val="009973E3"/>
    <w:rsid w:val="009A22B1"/>
    <w:rsid w:val="009A63A2"/>
    <w:rsid w:val="009C00D9"/>
    <w:rsid w:val="009C0630"/>
    <w:rsid w:val="009C3135"/>
    <w:rsid w:val="009C38E0"/>
    <w:rsid w:val="009C52A2"/>
    <w:rsid w:val="009D2B36"/>
    <w:rsid w:val="009D3B67"/>
    <w:rsid w:val="009D6150"/>
    <w:rsid w:val="009D6195"/>
    <w:rsid w:val="009E3C7E"/>
    <w:rsid w:val="009F10F0"/>
    <w:rsid w:val="009F1371"/>
    <w:rsid w:val="009F4534"/>
    <w:rsid w:val="009F717F"/>
    <w:rsid w:val="00A0012A"/>
    <w:rsid w:val="00A00EB7"/>
    <w:rsid w:val="00A01454"/>
    <w:rsid w:val="00A056F8"/>
    <w:rsid w:val="00A131CA"/>
    <w:rsid w:val="00A1648E"/>
    <w:rsid w:val="00A24A5C"/>
    <w:rsid w:val="00A2530A"/>
    <w:rsid w:val="00A339F0"/>
    <w:rsid w:val="00A34B26"/>
    <w:rsid w:val="00A358D0"/>
    <w:rsid w:val="00A35D96"/>
    <w:rsid w:val="00A40FE0"/>
    <w:rsid w:val="00A43875"/>
    <w:rsid w:val="00A45715"/>
    <w:rsid w:val="00A46EE5"/>
    <w:rsid w:val="00A4704F"/>
    <w:rsid w:val="00A50709"/>
    <w:rsid w:val="00A60E81"/>
    <w:rsid w:val="00A65DE0"/>
    <w:rsid w:val="00A66A1B"/>
    <w:rsid w:val="00A732ED"/>
    <w:rsid w:val="00A74903"/>
    <w:rsid w:val="00A758B8"/>
    <w:rsid w:val="00A77897"/>
    <w:rsid w:val="00A835EA"/>
    <w:rsid w:val="00A85F42"/>
    <w:rsid w:val="00A86136"/>
    <w:rsid w:val="00A904AA"/>
    <w:rsid w:val="00A90D88"/>
    <w:rsid w:val="00A9126F"/>
    <w:rsid w:val="00A94C4E"/>
    <w:rsid w:val="00A9531F"/>
    <w:rsid w:val="00A96C87"/>
    <w:rsid w:val="00AA0108"/>
    <w:rsid w:val="00AA0D10"/>
    <w:rsid w:val="00AA5B57"/>
    <w:rsid w:val="00AA6E06"/>
    <w:rsid w:val="00AB1C8E"/>
    <w:rsid w:val="00AB468D"/>
    <w:rsid w:val="00AB6BAC"/>
    <w:rsid w:val="00AB75A3"/>
    <w:rsid w:val="00AC6BC0"/>
    <w:rsid w:val="00AC7868"/>
    <w:rsid w:val="00AC7C01"/>
    <w:rsid w:val="00AD20D8"/>
    <w:rsid w:val="00AD2833"/>
    <w:rsid w:val="00AD75EF"/>
    <w:rsid w:val="00AE064E"/>
    <w:rsid w:val="00AE5514"/>
    <w:rsid w:val="00AF026A"/>
    <w:rsid w:val="00AF1BF4"/>
    <w:rsid w:val="00AF2F93"/>
    <w:rsid w:val="00AF57C4"/>
    <w:rsid w:val="00AF7798"/>
    <w:rsid w:val="00B03075"/>
    <w:rsid w:val="00B04551"/>
    <w:rsid w:val="00B048C5"/>
    <w:rsid w:val="00B200B9"/>
    <w:rsid w:val="00B21869"/>
    <w:rsid w:val="00B23895"/>
    <w:rsid w:val="00B256C6"/>
    <w:rsid w:val="00B25CFB"/>
    <w:rsid w:val="00B4710D"/>
    <w:rsid w:val="00B50C21"/>
    <w:rsid w:val="00B510CB"/>
    <w:rsid w:val="00B52350"/>
    <w:rsid w:val="00B5339D"/>
    <w:rsid w:val="00B56A60"/>
    <w:rsid w:val="00B6100E"/>
    <w:rsid w:val="00B67602"/>
    <w:rsid w:val="00B76B8D"/>
    <w:rsid w:val="00B86DBA"/>
    <w:rsid w:val="00B9248B"/>
    <w:rsid w:val="00B92C71"/>
    <w:rsid w:val="00B945F0"/>
    <w:rsid w:val="00BA1519"/>
    <w:rsid w:val="00BA7ADE"/>
    <w:rsid w:val="00BB0EE1"/>
    <w:rsid w:val="00BB400D"/>
    <w:rsid w:val="00BB5119"/>
    <w:rsid w:val="00BB5783"/>
    <w:rsid w:val="00BB68BA"/>
    <w:rsid w:val="00BB70B4"/>
    <w:rsid w:val="00BC2634"/>
    <w:rsid w:val="00BC311E"/>
    <w:rsid w:val="00BC55E5"/>
    <w:rsid w:val="00BD09A6"/>
    <w:rsid w:val="00BE2070"/>
    <w:rsid w:val="00BE7E85"/>
    <w:rsid w:val="00BF2ADE"/>
    <w:rsid w:val="00BF4C43"/>
    <w:rsid w:val="00BF5B2A"/>
    <w:rsid w:val="00C008C7"/>
    <w:rsid w:val="00C00C8F"/>
    <w:rsid w:val="00C0386A"/>
    <w:rsid w:val="00C0472D"/>
    <w:rsid w:val="00C05883"/>
    <w:rsid w:val="00C109AA"/>
    <w:rsid w:val="00C13204"/>
    <w:rsid w:val="00C161F3"/>
    <w:rsid w:val="00C172D6"/>
    <w:rsid w:val="00C17C57"/>
    <w:rsid w:val="00C21901"/>
    <w:rsid w:val="00C23507"/>
    <w:rsid w:val="00C23B1E"/>
    <w:rsid w:val="00C260B2"/>
    <w:rsid w:val="00C273A3"/>
    <w:rsid w:val="00C2791E"/>
    <w:rsid w:val="00C31A31"/>
    <w:rsid w:val="00C34E72"/>
    <w:rsid w:val="00C36FDF"/>
    <w:rsid w:val="00C4680B"/>
    <w:rsid w:val="00C50FEE"/>
    <w:rsid w:val="00C51FD1"/>
    <w:rsid w:val="00C63419"/>
    <w:rsid w:val="00C637D7"/>
    <w:rsid w:val="00C64A9C"/>
    <w:rsid w:val="00C67639"/>
    <w:rsid w:val="00C70745"/>
    <w:rsid w:val="00C7091F"/>
    <w:rsid w:val="00C80D81"/>
    <w:rsid w:val="00C85707"/>
    <w:rsid w:val="00C86859"/>
    <w:rsid w:val="00C86F75"/>
    <w:rsid w:val="00C91001"/>
    <w:rsid w:val="00C9106F"/>
    <w:rsid w:val="00C93207"/>
    <w:rsid w:val="00CA127E"/>
    <w:rsid w:val="00CA15A8"/>
    <w:rsid w:val="00CA18AA"/>
    <w:rsid w:val="00CA41C0"/>
    <w:rsid w:val="00CA71C5"/>
    <w:rsid w:val="00CB28C0"/>
    <w:rsid w:val="00CB72E3"/>
    <w:rsid w:val="00CC3CBB"/>
    <w:rsid w:val="00CC6568"/>
    <w:rsid w:val="00CC6668"/>
    <w:rsid w:val="00CC7B76"/>
    <w:rsid w:val="00CD003D"/>
    <w:rsid w:val="00CD1427"/>
    <w:rsid w:val="00CD32CF"/>
    <w:rsid w:val="00CD3AAF"/>
    <w:rsid w:val="00CD41AA"/>
    <w:rsid w:val="00CD423F"/>
    <w:rsid w:val="00CD5168"/>
    <w:rsid w:val="00CE4F04"/>
    <w:rsid w:val="00CF046E"/>
    <w:rsid w:val="00CF0E80"/>
    <w:rsid w:val="00CF17EB"/>
    <w:rsid w:val="00CF3384"/>
    <w:rsid w:val="00CF6B40"/>
    <w:rsid w:val="00D01648"/>
    <w:rsid w:val="00D01D41"/>
    <w:rsid w:val="00D07506"/>
    <w:rsid w:val="00D112B1"/>
    <w:rsid w:val="00D12351"/>
    <w:rsid w:val="00D16926"/>
    <w:rsid w:val="00D178AC"/>
    <w:rsid w:val="00D24CF4"/>
    <w:rsid w:val="00D261F5"/>
    <w:rsid w:val="00D30836"/>
    <w:rsid w:val="00D315A0"/>
    <w:rsid w:val="00D317ED"/>
    <w:rsid w:val="00D3416E"/>
    <w:rsid w:val="00D34F29"/>
    <w:rsid w:val="00D353E0"/>
    <w:rsid w:val="00D401B7"/>
    <w:rsid w:val="00D41042"/>
    <w:rsid w:val="00D423D8"/>
    <w:rsid w:val="00D42C3C"/>
    <w:rsid w:val="00D430F2"/>
    <w:rsid w:val="00D46B43"/>
    <w:rsid w:val="00D46D43"/>
    <w:rsid w:val="00D46F58"/>
    <w:rsid w:val="00D4709E"/>
    <w:rsid w:val="00D57639"/>
    <w:rsid w:val="00D62BB6"/>
    <w:rsid w:val="00D65011"/>
    <w:rsid w:val="00D66566"/>
    <w:rsid w:val="00D70C3D"/>
    <w:rsid w:val="00D75621"/>
    <w:rsid w:val="00D76060"/>
    <w:rsid w:val="00D85865"/>
    <w:rsid w:val="00D859DB"/>
    <w:rsid w:val="00D866FC"/>
    <w:rsid w:val="00D91B9E"/>
    <w:rsid w:val="00D92622"/>
    <w:rsid w:val="00D92FAE"/>
    <w:rsid w:val="00D93B1B"/>
    <w:rsid w:val="00D94A33"/>
    <w:rsid w:val="00D94ECB"/>
    <w:rsid w:val="00D963DB"/>
    <w:rsid w:val="00D978C8"/>
    <w:rsid w:val="00DA0B27"/>
    <w:rsid w:val="00DA78A3"/>
    <w:rsid w:val="00DA7B31"/>
    <w:rsid w:val="00DB24F9"/>
    <w:rsid w:val="00DB591A"/>
    <w:rsid w:val="00DC4203"/>
    <w:rsid w:val="00DC4FD3"/>
    <w:rsid w:val="00DD06B6"/>
    <w:rsid w:val="00DD175F"/>
    <w:rsid w:val="00DD2918"/>
    <w:rsid w:val="00DD470E"/>
    <w:rsid w:val="00DD483D"/>
    <w:rsid w:val="00DD484E"/>
    <w:rsid w:val="00DE4BE5"/>
    <w:rsid w:val="00DE787A"/>
    <w:rsid w:val="00DF1C7E"/>
    <w:rsid w:val="00DF1F25"/>
    <w:rsid w:val="00DF5FE1"/>
    <w:rsid w:val="00E00213"/>
    <w:rsid w:val="00E045A9"/>
    <w:rsid w:val="00E11D9B"/>
    <w:rsid w:val="00E11F2B"/>
    <w:rsid w:val="00E148CB"/>
    <w:rsid w:val="00E16AED"/>
    <w:rsid w:val="00E16D2C"/>
    <w:rsid w:val="00E1735E"/>
    <w:rsid w:val="00E2036E"/>
    <w:rsid w:val="00E24BD3"/>
    <w:rsid w:val="00E36625"/>
    <w:rsid w:val="00E41383"/>
    <w:rsid w:val="00E430C6"/>
    <w:rsid w:val="00E46325"/>
    <w:rsid w:val="00E55363"/>
    <w:rsid w:val="00E62396"/>
    <w:rsid w:val="00E668C4"/>
    <w:rsid w:val="00E70102"/>
    <w:rsid w:val="00E702D4"/>
    <w:rsid w:val="00E73CD5"/>
    <w:rsid w:val="00E77697"/>
    <w:rsid w:val="00E91AA0"/>
    <w:rsid w:val="00E91D2C"/>
    <w:rsid w:val="00E91FD6"/>
    <w:rsid w:val="00E93721"/>
    <w:rsid w:val="00E93EF5"/>
    <w:rsid w:val="00E93FF2"/>
    <w:rsid w:val="00E94045"/>
    <w:rsid w:val="00E95F4A"/>
    <w:rsid w:val="00EA22F0"/>
    <w:rsid w:val="00EA29E9"/>
    <w:rsid w:val="00EA761F"/>
    <w:rsid w:val="00EC22EC"/>
    <w:rsid w:val="00EC2E67"/>
    <w:rsid w:val="00EC2EC7"/>
    <w:rsid w:val="00EC652D"/>
    <w:rsid w:val="00EC66BC"/>
    <w:rsid w:val="00ED18CB"/>
    <w:rsid w:val="00ED2A10"/>
    <w:rsid w:val="00EE09B6"/>
    <w:rsid w:val="00EE58B0"/>
    <w:rsid w:val="00EF7D46"/>
    <w:rsid w:val="00F0115E"/>
    <w:rsid w:val="00F022F5"/>
    <w:rsid w:val="00F0670A"/>
    <w:rsid w:val="00F06FC6"/>
    <w:rsid w:val="00F20A09"/>
    <w:rsid w:val="00F2282A"/>
    <w:rsid w:val="00F25849"/>
    <w:rsid w:val="00F277F2"/>
    <w:rsid w:val="00F27CE8"/>
    <w:rsid w:val="00F4045A"/>
    <w:rsid w:val="00F4296A"/>
    <w:rsid w:val="00F4390D"/>
    <w:rsid w:val="00F46CF2"/>
    <w:rsid w:val="00F471BC"/>
    <w:rsid w:val="00F478F6"/>
    <w:rsid w:val="00F50A33"/>
    <w:rsid w:val="00F61D1E"/>
    <w:rsid w:val="00F62D15"/>
    <w:rsid w:val="00F72A08"/>
    <w:rsid w:val="00F75FBA"/>
    <w:rsid w:val="00F81459"/>
    <w:rsid w:val="00F8392F"/>
    <w:rsid w:val="00F86A09"/>
    <w:rsid w:val="00F91C7D"/>
    <w:rsid w:val="00F950AA"/>
    <w:rsid w:val="00F97885"/>
    <w:rsid w:val="00FA0297"/>
    <w:rsid w:val="00FA0C09"/>
    <w:rsid w:val="00FA1632"/>
    <w:rsid w:val="00FB2970"/>
    <w:rsid w:val="00FB3DBA"/>
    <w:rsid w:val="00FB4566"/>
    <w:rsid w:val="00FB4D99"/>
    <w:rsid w:val="00FB7232"/>
    <w:rsid w:val="00FC096D"/>
    <w:rsid w:val="00FC1FCE"/>
    <w:rsid w:val="00FC3089"/>
    <w:rsid w:val="00FD1A75"/>
    <w:rsid w:val="00FD3375"/>
    <w:rsid w:val="00FD4F8E"/>
    <w:rsid w:val="00FD5118"/>
    <w:rsid w:val="00FD528D"/>
    <w:rsid w:val="00FD64B5"/>
    <w:rsid w:val="00FE07EB"/>
    <w:rsid w:val="00FE520F"/>
    <w:rsid w:val="00FE77CF"/>
    <w:rsid w:val="00FF1D39"/>
    <w:rsid w:val="00FF2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C8E2"/>
  <w15:chartTrackingRefBased/>
  <w15:docId w15:val="{8B6350AA-5B0C-49CC-B3E3-0E4731ED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65"/>
  </w:style>
  <w:style w:type="paragraph" w:styleId="Titre1">
    <w:name w:val="heading 1"/>
    <w:basedOn w:val="Normal"/>
    <w:next w:val="Normal"/>
    <w:link w:val="Titre1Car"/>
    <w:uiPriority w:val="9"/>
    <w:qFormat/>
    <w:rsid w:val="00106098"/>
    <w:pPr>
      <w:keepNext/>
      <w:keepLines/>
      <w:spacing w:before="240" w:after="0"/>
      <w:outlineLvl w:val="0"/>
    </w:pPr>
    <w:rPr>
      <w:rFonts w:ascii="Times New Roman" w:eastAsiaTheme="majorEastAsia" w:hAnsi="Times New Roman" w:cstheme="majorBidi"/>
      <w:sz w:val="28"/>
      <w:szCs w:val="32"/>
      <w:u w:val="single"/>
    </w:rPr>
  </w:style>
  <w:style w:type="paragraph" w:styleId="Titre2">
    <w:name w:val="heading 2"/>
    <w:basedOn w:val="Normal"/>
    <w:link w:val="Titre2Car"/>
    <w:uiPriority w:val="9"/>
    <w:qFormat/>
    <w:rsid w:val="00106098"/>
    <w:pPr>
      <w:spacing w:before="100" w:beforeAutospacing="1" w:after="100" w:afterAutospacing="1"/>
      <w:outlineLvl w:val="1"/>
    </w:pPr>
    <w:rPr>
      <w:rFonts w:ascii="Times New Roman" w:eastAsia="Times New Roman" w:hAnsi="Times New Roman" w:cs="Times New Roman"/>
      <w:b/>
      <w:bCs/>
      <w:sz w:val="24"/>
      <w:szCs w:val="36"/>
      <w:lang w:eastAsia="fr-FR"/>
    </w:rPr>
  </w:style>
  <w:style w:type="paragraph" w:styleId="Titre3">
    <w:name w:val="heading 3"/>
    <w:basedOn w:val="Normal"/>
    <w:next w:val="Normal"/>
    <w:link w:val="Titre3Car"/>
    <w:uiPriority w:val="9"/>
    <w:semiHidden/>
    <w:unhideWhenUsed/>
    <w:qFormat/>
    <w:rsid w:val="00CC65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39B0"/>
    <w:pPr>
      <w:tabs>
        <w:tab w:val="center" w:pos="4536"/>
        <w:tab w:val="right" w:pos="9072"/>
      </w:tabs>
      <w:spacing w:after="0"/>
    </w:pPr>
  </w:style>
  <w:style w:type="character" w:customStyle="1" w:styleId="En-tteCar">
    <w:name w:val="En-tête Car"/>
    <w:basedOn w:val="Policepardfaut"/>
    <w:link w:val="En-tte"/>
    <w:uiPriority w:val="99"/>
    <w:rsid w:val="005739B0"/>
  </w:style>
  <w:style w:type="paragraph" w:styleId="Pieddepage">
    <w:name w:val="footer"/>
    <w:basedOn w:val="Normal"/>
    <w:link w:val="PieddepageCar"/>
    <w:uiPriority w:val="99"/>
    <w:unhideWhenUsed/>
    <w:rsid w:val="005739B0"/>
    <w:pPr>
      <w:tabs>
        <w:tab w:val="center" w:pos="4536"/>
        <w:tab w:val="right" w:pos="9072"/>
      </w:tabs>
      <w:spacing w:after="0"/>
    </w:pPr>
  </w:style>
  <w:style w:type="character" w:customStyle="1" w:styleId="PieddepageCar">
    <w:name w:val="Pied de page Car"/>
    <w:basedOn w:val="Policepardfaut"/>
    <w:link w:val="Pieddepage"/>
    <w:uiPriority w:val="99"/>
    <w:rsid w:val="005739B0"/>
  </w:style>
  <w:style w:type="paragraph" w:styleId="Paragraphedeliste">
    <w:name w:val="List Paragraph"/>
    <w:basedOn w:val="Normal"/>
    <w:uiPriority w:val="34"/>
    <w:qFormat/>
    <w:rsid w:val="005739B0"/>
    <w:pPr>
      <w:ind w:left="720"/>
      <w:contextualSpacing/>
    </w:pPr>
  </w:style>
  <w:style w:type="character" w:styleId="Marquedecommentaire">
    <w:name w:val="annotation reference"/>
    <w:basedOn w:val="Policepardfaut"/>
    <w:uiPriority w:val="99"/>
    <w:semiHidden/>
    <w:unhideWhenUsed/>
    <w:rsid w:val="000A2504"/>
    <w:rPr>
      <w:sz w:val="16"/>
      <w:szCs w:val="16"/>
    </w:rPr>
  </w:style>
  <w:style w:type="paragraph" w:styleId="Commentaire">
    <w:name w:val="annotation text"/>
    <w:basedOn w:val="Normal"/>
    <w:link w:val="CommentaireCar"/>
    <w:uiPriority w:val="99"/>
    <w:semiHidden/>
    <w:unhideWhenUsed/>
    <w:rsid w:val="000A2504"/>
    <w:rPr>
      <w:sz w:val="20"/>
      <w:szCs w:val="20"/>
    </w:rPr>
  </w:style>
  <w:style w:type="character" w:customStyle="1" w:styleId="CommentaireCar">
    <w:name w:val="Commentaire Car"/>
    <w:basedOn w:val="Policepardfaut"/>
    <w:link w:val="Commentaire"/>
    <w:uiPriority w:val="99"/>
    <w:semiHidden/>
    <w:rsid w:val="000A2504"/>
    <w:rPr>
      <w:sz w:val="20"/>
      <w:szCs w:val="20"/>
    </w:rPr>
  </w:style>
  <w:style w:type="paragraph" w:styleId="Objetducommentaire">
    <w:name w:val="annotation subject"/>
    <w:basedOn w:val="Commentaire"/>
    <w:next w:val="Commentaire"/>
    <w:link w:val="ObjetducommentaireCar"/>
    <w:uiPriority w:val="99"/>
    <w:semiHidden/>
    <w:unhideWhenUsed/>
    <w:rsid w:val="000A2504"/>
    <w:rPr>
      <w:b/>
      <w:bCs/>
    </w:rPr>
  </w:style>
  <w:style w:type="character" w:customStyle="1" w:styleId="ObjetducommentaireCar">
    <w:name w:val="Objet du commentaire Car"/>
    <w:basedOn w:val="CommentaireCar"/>
    <w:link w:val="Objetducommentaire"/>
    <w:uiPriority w:val="99"/>
    <w:semiHidden/>
    <w:rsid w:val="000A2504"/>
    <w:rPr>
      <w:b/>
      <w:bCs/>
      <w:sz w:val="20"/>
      <w:szCs w:val="20"/>
    </w:rPr>
  </w:style>
  <w:style w:type="paragraph" w:styleId="Textedebulles">
    <w:name w:val="Balloon Text"/>
    <w:basedOn w:val="Normal"/>
    <w:link w:val="TextedebullesCar"/>
    <w:uiPriority w:val="99"/>
    <w:semiHidden/>
    <w:unhideWhenUsed/>
    <w:rsid w:val="000A250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2504"/>
    <w:rPr>
      <w:rFonts w:ascii="Segoe UI" w:hAnsi="Segoe UI" w:cs="Segoe UI"/>
      <w:sz w:val="18"/>
      <w:szCs w:val="18"/>
    </w:rPr>
  </w:style>
  <w:style w:type="paragraph" w:styleId="Notedefin">
    <w:name w:val="endnote text"/>
    <w:basedOn w:val="Normal"/>
    <w:link w:val="NotedefinCar"/>
    <w:uiPriority w:val="99"/>
    <w:unhideWhenUsed/>
    <w:rsid w:val="000A2504"/>
    <w:pPr>
      <w:spacing w:after="0"/>
    </w:pPr>
    <w:rPr>
      <w:sz w:val="20"/>
      <w:szCs w:val="20"/>
    </w:rPr>
  </w:style>
  <w:style w:type="character" w:customStyle="1" w:styleId="NotedefinCar">
    <w:name w:val="Note de fin Car"/>
    <w:basedOn w:val="Policepardfaut"/>
    <w:link w:val="Notedefin"/>
    <w:uiPriority w:val="99"/>
    <w:rsid w:val="000A2504"/>
    <w:rPr>
      <w:sz w:val="20"/>
      <w:szCs w:val="20"/>
    </w:rPr>
  </w:style>
  <w:style w:type="character" w:styleId="Appeldenotedefin">
    <w:name w:val="endnote reference"/>
    <w:basedOn w:val="Policepardfaut"/>
    <w:uiPriority w:val="99"/>
    <w:semiHidden/>
    <w:unhideWhenUsed/>
    <w:rsid w:val="000A2504"/>
    <w:rPr>
      <w:vertAlign w:val="superscript"/>
    </w:rPr>
  </w:style>
  <w:style w:type="paragraph" w:styleId="Notedebasdepage">
    <w:name w:val="footnote text"/>
    <w:basedOn w:val="Normal"/>
    <w:link w:val="NotedebasdepageCar"/>
    <w:uiPriority w:val="99"/>
    <w:unhideWhenUsed/>
    <w:rsid w:val="001B5DFE"/>
    <w:pPr>
      <w:spacing w:after="0"/>
    </w:pPr>
    <w:rPr>
      <w:sz w:val="20"/>
      <w:szCs w:val="20"/>
    </w:rPr>
  </w:style>
  <w:style w:type="character" w:customStyle="1" w:styleId="NotedebasdepageCar">
    <w:name w:val="Note de bas de page Car"/>
    <w:basedOn w:val="Policepardfaut"/>
    <w:link w:val="Notedebasdepage"/>
    <w:uiPriority w:val="99"/>
    <w:rsid w:val="001B5DFE"/>
    <w:rPr>
      <w:sz w:val="20"/>
      <w:szCs w:val="20"/>
    </w:rPr>
  </w:style>
  <w:style w:type="character" w:styleId="Appelnotedebasdep">
    <w:name w:val="footnote reference"/>
    <w:basedOn w:val="Policepardfaut"/>
    <w:uiPriority w:val="99"/>
    <w:semiHidden/>
    <w:unhideWhenUsed/>
    <w:rsid w:val="001B5DFE"/>
    <w:rPr>
      <w:vertAlign w:val="superscript"/>
    </w:rPr>
  </w:style>
  <w:style w:type="character" w:customStyle="1" w:styleId="Titre2Car">
    <w:name w:val="Titre 2 Car"/>
    <w:basedOn w:val="Policepardfaut"/>
    <w:link w:val="Titre2"/>
    <w:uiPriority w:val="9"/>
    <w:rsid w:val="00106098"/>
    <w:rPr>
      <w:rFonts w:ascii="Times New Roman" w:eastAsia="Times New Roman" w:hAnsi="Times New Roman" w:cs="Times New Roman"/>
      <w:b/>
      <w:bCs/>
      <w:sz w:val="24"/>
      <w:szCs w:val="36"/>
      <w:lang w:eastAsia="fr-FR"/>
    </w:rPr>
  </w:style>
  <w:style w:type="character" w:customStyle="1" w:styleId="clearfix">
    <w:name w:val="clearfix"/>
    <w:basedOn w:val="Policepardfaut"/>
    <w:rsid w:val="004E2CD6"/>
  </w:style>
  <w:style w:type="character" w:styleId="lev">
    <w:name w:val="Strong"/>
    <w:basedOn w:val="Policepardfaut"/>
    <w:uiPriority w:val="22"/>
    <w:qFormat/>
    <w:rsid w:val="004E2CD6"/>
    <w:rPr>
      <w:b/>
      <w:bCs/>
    </w:rPr>
  </w:style>
  <w:style w:type="character" w:styleId="Accentuation">
    <w:name w:val="Emphasis"/>
    <w:basedOn w:val="Policepardfaut"/>
    <w:uiPriority w:val="20"/>
    <w:qFormat/>
    <w:rsid w:val="00AB468D"/>
    <w:rPr>
      <w:i/>
      <w:iCs/>
    </w:rPr>
  </w:style>
  <w:style w:type="character" w:customStyle="1" w:styleId="Titre1Car">
    <w:name w:val="Titre 1 Car"/>
    <w:basedOn w:val="Policepardfaut"/>
    <w:link w:val="Titre1"/>
    <w:uiPriority w:val="9"/>
    <w:rsid w:val="00106098"/>
    <w:rPr>
      <w:rFonts w:ascii="Times New Roman" w:eastAsiaTheme="majorEastAsia" w:hAnsi="Times New Roman" w:cstheme="majorBidi"/>
      <w:sz w:val="28"/>
      <w:szCs w:val="32"/>
      <w:u w:val="single"/>
    </w:rPr>
  </w:style>
  <w:style w:type="paragraph" w:customStyle="1" w:styleId="Style1">
    <w:name w:val="Style1"/>
    <w:basedOn w:val="Titre1"/>
    <w:link w:val="Style1Car"/>
    <w:qFormat/>
    <w:rsid w:val="00924DF2"/>
    <w:pPr>
      <w:numPr>
        <w:numId w:val="7"/>
      </w:numPr>
    </w:pPr>
    <w:rPr>
      <w:rFonts w:cs="Times New Roman"/>
      <w:szCs w:val="28"/>
    </w:rPr>
  </w:style>
  <w:style w:type="paragraph" w:customStyle="1" w:styleId="Style2">
    <w:name w:val="Style2"/>
    <w:basedOn w:val="Titre2"/>
    <w:link w:val="Style2Car"/>
    <w:qFormat/>
    <w:rsid w:val="00924DF2"/>
  </w:style>
  <w:style w:type="character" w:customStyle="1" w:styleId="Style1Car">
    <w:name w:val="Style1 Car"/>
    <w:basedOn w:val="Titre1Car"/>
    <w:link w:val="Style1"/>
    <w:rsid w:val="00924DF2"/>
    <w:rPr>
      <w:rFonts w:ascii="Times New Roman" w:eastAsiaTheme="majorEastAsia" w:hAnsi="Times New Roman" w:cs="Times New Roman"/>
      <w:sz w:val="28"/>
      <w:szCs w:val="28"/>
      <w:u w:val="single"/>
    </w:rPr>
  </w:style>
  <w:style w:type="paragraph" w:customStyle="1" w:styleId="Style3">
    <w:name w:val="Style3"/>
    <w:basedOn w:val="Titre1"/>
    <w:link w:val="Style3Car"/>
    <w:qFormat/>
    <w:rsid w:val="00924DF2"/>
  </w:style>
  <w:style w:type="character" w:customStyle="1" w:styleId="Style2Car">
    <w:name w:val="Style2 Car"/>
    <w:basedOn w:val="Titre2Car"/>
    <w:link w:val="Style2"/>
    <w:rsid w:val="00924DF2"/>
    <w:rPr>
      <w:rFonts w:ascii="Times New Roman" w:eastAsia="Times New Roman" w:hAnsi="Times New Roman" w:cs="Times New Roman"/>
      <w:b/>
      <w:bCs/>
      <w:sz w:val="24"/>
      <w:szCs w:val="36"/>
      <w:lang w:eastAsia="fr-FR"/>
    </w:rPr>
  </w:style>
  <w:style w:type="paragraph" w:styleId="Titre">
    <w:name w:val="Title"/>
    <w:basedOn w:val="Normal"/>
    <w:next w:val="Normal"/>
    <w:link w:val="TitreCar"/>
    <w:uiPriority w:val="10"/>
    <w:qFormat/>
    <w:rsid w:val="00924DF2"/>
    <w:pPr>
      <w:spacing w:after="0"/>
      <w:contextualSpacing/>
    </w:pPr>
    <w:rPr>
      <w:rFonts w:asciiTheme="majorHAnsi" w:eastAsiaTheme="majorEastAsia" w:hAnsiTheme="majorHAnsi" w:cstheme="majorBidi"/>
      <w:spacing w:val="-10"/>
      <w:kern w:val="28"/>
      <w:sz w:val="56"/>
      <w:szCs w:val="56"/>
    </w:rPr>
  </w:style>
  <w:style w:type="character" w:customStyle="1" w:styleId="Style3Car">
    <w:name w:val="Style3 Car"/>
    <w:basedOn w:val="Titre1Car"/>
    <w:link w:val="Style3"/>
    <w:rsid w:val="00924DF2"/>
    <w:rPr>
      <w:rFonts w:ascii="Times New Roman" w:eastAsiaTheme="majorEastAsia" w:hAnsi="Times New Roman" w:cstheme="majorBidi"/>
      <w:sz w:val="28"/>
      <w:szCs w:val="32"/>
      <w:u w:val="single"/>
    </w:rPr>
  </w:style>
  <w:style w:type="character" w:customStyle="1" w:styleId="TitreCar">
    <w:name w:val="Titre Car"/>
    <w:basedOn w:val="Policepardfaut"/>
    <w:link w:val="Titre"/>
    <w:uiPriority w:val="10"/>
    <w:rsid w:val="00924DF2"/>
    <w:rPr>
      <w:rFonts w:asciiTheme="majorHAnsi" w:eastAsiaTheme="majorEastAsia" w:hAnsiTheme="majorHAnsi" w:cstheme="majorBidi"/>
      <w:spacing w:val="-10"/>
      <w:kern w:val="28"/>
      <w:sz w:val="56"/>
      <w:szCs w:val="56"/>
    </w:rPr>
  </w:style>
  <w:style w:type="character" w:styleId="Accentuationintense">
    <w:name w:val="Intense Emphasis"/>
    <w:basedOn w:val="Policepardfaut"/>
    <w:uiPriority w:val="21"/>
    <w:qFormat/>
    <w:rsid w:val="00924DF2"/>
    <w:rPr>
      <w:i/>
      <w:iCs/>
      <w:color w:val="5B9BD5" w:themeColor="accent1"/>
    </w:rPr>
  </w:style>
  <w:style w:type="paragraph" w:styleId="Citation">
    <w:name w:val="Quote"/>
    <w:basedOn w:val="Normal"/>
    <w:next w:val="Normal"/>
    <w:link w:val="CitationCar"/>
    <w:uiPriority w:val="29"/>
    <w:qFormat/>
    <w:rsid w:val="00924DF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924DF2"/>
    <w:rPr>
      <w:i/>
      <w:iCs/>
      <w:color w:val="404040" w:themeColor="text1" w:themeTint="BF"/>
    </w:rPr>
  </w:style>
  <w:style w:type="paragraph" w:styleId="Citationintense">
    <w:name w:val="Intense Quote"/>
    <w:basedOn w:val="Normal"/>
    <w:next w:val="Normal"/>
    <w:link w:val="CitationintenseCar"/>
    <w:uiPriority w:val="30"/>
    <w:qFormat/>
    <w:rsid w:val="00924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24DF2"/>
    <w:rPr>
      <w:i/>
      <w:iCs/>
      <w:color w:val="5B9BD5" w:themeColor="accent1"/>
    </w:rPr>
  </w:style>
  <w:style w:type="character" w:customStyle="1" w:styleId="Titre3Car">
    <w:name w:val="Titre 3 Car"/>
    <w:basedOn w:val="Policepardfaut"/>
    <w:link w:val="Titre3"/>
    <w:uiPriority w:val="9"/>
    <w:semiHidden/>
    <w:rsid w:val="00CC6568"/>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CC6568"/>
    <w:rPr>
      <w:color w:val="0563C1" w:themeColor="hyperlink"/>
      <w:u w:val="single"/>
    </w:rPr>
  </w:style>
  <w:style w:type="paragraph" w:customStyle="1" w:styleId="Default">
    <w:name w:val="Default"/>
    <w:rsid w:val="006A39A6"/>
    <w:pPr>
      <w:autoSpaceDE w:val="0"/>
      <w:autoSpaceDN w:val="0"/>
      <w:adjustRightInd w:val="0"/>
      <w:spacing w:after="0"/>
    </w:pPr>
    <w:rPr>
      <w:rFonts w:ascii="Calibri" w:hAnsi="Calibri" w:cs="Calibri"/>
      <w:color w:val="000000"/>
      <w:sz w:val="24"/>
      <w:szCs w:val="24"/>
    </w:rPr>
  </w:style>
  <w:style w:type="character" w:styleId="Mentionnonrsolue">
    <w:name w:val="Unresolved Mention"/>
    <w:basedOn w:val="Policepardfaut"/>
    <w:uiPriority w:val="99"/>
    <w:semiHidden/>
    <w:unhideWhenUsed/>
    <w:rsid w:val="0055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0936">
      <w:bodyDiv w:val="1"/>
      <w:marLeft w:val="0"/>
      <w:marRight w:val="0"/>
      <w:marTop w:val="0"/>
      <w:marBottom w:val="0"/>
      <w:divBdr>
        <w:top w:val="none" w:sz="0" w:space="0" w:color="auto"/>
        <w:left w:val="none" w:sz="0" w:space="0" w:color="auto"/>
        <w:bottom w:val="none" w:sz="0" w:space="0" w:color="auto"/>
        <w:right w:val="none" w:sz="0" w:space="0" w:color="auto"/>
      </w:divBdr>
    </w:div>
    <w:div w:id="478495471">
      <w:bodyDiv w:val="1"/>
      <w:marLeft w:val="0"/>
      <w:marRight w:val="0"/>
      <w:marTop w:val="0"/>
      <w:marBottom w:val="0"/>
      <w:divBdr>
        <w:top w:val="none" w:sz="0" w:space="0" w:color="auto"/>
        <w:left w:val="none" w:sz="0" w:space="0" w:color="auto"/>
        <w:bottom w:val="none" w:sz="0" w:space="0" w:color="auto"/>
        <w:right w:val="none" w:sz="0" w:space="0" w:color="auto"/>
      </w:divBdr>
      <w:divsChild>
        <w:div w:id="984092680">
          <w:marLeft w:val="0"/>
          <w:marRight w:val="0"/>
          <w:marTop w:val="0"/>
          <w:marBottom w:val="0"/>
          <w:divBdr>
            <w:top w:val="none" w:sz="0" w:space="0" w:color="auto"/>
            <w:left w:val="none" w:sz="0" w:space="0" w:color="auto"/>
            <w:bottom w:val="none" w:sz="0" w:space="0" w:color="auto"/>
            <w:right w:val="none" w:sz="0" w:space="0" w:color="auto"/>
          </w:divBdr>
        </w:div>
        <w:div w:id="446311480">
          <w:marLeft w:val="0"/>
          <w:marRight w:val="0"/>
          <w:marTop w:val="0"/>
          <w:marBottom w:val="0"/>
          <w:divBdr>
            <w:top w:val="none" w:sz="0" w:space="0" w:color="auto"/>
            <w:left w:val="none" w:sz="0" w:space="0" w:color="auto"/>
            <w:bottom w:val="none" w:sz="0" w:space="0" w:color="auto"/>
            <w:right w:val="none" w:sz="0" w:space="0" w:color="auto"/>
          </w:divBdr>
        </w:div>
        <w:div w:id="1821074675">
          <w:marLeft w:val="0"/>
          <w:marRight w:val="0"/>
          <w:marTop w:val="0"/>
          <w:marBottom w:val="0"/>
          <w:divBdr>
            <w:top w:val="none" w:sz="0" w:space="0" w:color="auto"/>
            <w:left w:val="none" w:sz="0" w:space="0" w:color="auto"/>
            <w:bottom w:val="none" w:sz="0" w:space="0" w:color="auto"/>
            <w:right w:val="none" w:sz="0" w:space="0" w:color="auto"/>
          </w:divBdr>
        </w:div>
        <w:div w:id="1427533933">
          <w:marLeft w:val="0"/>
          <w:marRight w:val="0"/>
          <w:marTop w:val="0"/>
          <w:marBottom w:val="0"/>
          <w:divBdr>
            <w:top w:val="none" w:sz="0" w:space="0" w:color="auto"/>
            <w:left w:val="none" w:sz="0" w:space="0" w:color="auto"/>
            <w:bottom w:val="none" w:sz="0" w:space="0" w:color="auto"/>
            <w:right w:val="none" w:sz="0" w:space="0" w:color="auto"/>
          </w:divBdr>
        </w:div>
        <w:div w:id="854617876">
          <w:marLeft w:val="0"/>
          <w:marRight w:val="0"/>
          <w:marTop w:val="0"/>
          <w:marBottom w:val="0"/>
          <w:divBdr>
            <w:top w:val="none" w:sz="0" w:space="0" w:color="auto"/>
            <w:left w:val="none" w:sz="0" w:space="0" w:color="auto"/>
            <w:bottom w:val="none" w:sz="0" w:space="0" w:color="auto"/>
            <w:right w:val="none" w:sz="0" w:space="0" w:color="auto"/>
          </w:divBdr>
        </w:div>
        <w:div w:id="1972789215">
          <w:marLeft w:val="0"/>
          <w:marRight w:val="0"/>
          <w:marTop w:val="0"/>
          <w:marBottom w:val="0"/>
          <w:divBdr>
            <w:top w:val="none" w:sz="0" w:space="0" w:color="auto"/>
            <w:left w:val="none" w:sz="0" w:space="0" w:color="auto"/>
            <w:bottom w:val="none" w:sz="0" w:space="0" w:color="auto"/>
            <w:right w:val="none" w:sz="0" w:space="0" w:color="auto"/>
          </w:divBdr>
        </w:div>
      </w:divsChild>
    </w:div>
    <w:div w:id="499006283">
      <w:bodyDiv w:val="1"/>
      <w:marLeft w:val="0"/>
      <w:marRight w:val="0"/>
      <w:marTop w:val="0"/>
      <w:marBottom w:val="0"/>
      <w:divBdr>
        <w:top w:val="none" w:sz="0" w:space="0" w:color="auto"/>
        <w:left w:val="none" w:sz="0" w:space="0" w:color="auto"/>
        <w:bottom w:val="none" w:sz="0" w:space="0" w:color="auto"/>
        <w:right w:val="none" w:sz="0" w:space="0" w:color="auto"/>
      </w:divBdr>
    </w:div>
    <w:div w:id="1476800255">
      <w:bodyDiv w:val="1"/>
      <w:marLeft w:val="0"/>
      <w:marRight w:val="0"/>
      <w:marTop w:val="0"/>
      <w:marBottom w:val="0"/>
      <w:divBdr>
        <w:top w:val="none" w:sz="0" w:space="0" w:color="auto"/>
        <w:left w:val="none" w:sz="0" w:space="0" w:color="auto"/>
        <w:bottom w:val="none" w:sz="0" w:space="0" w:color="auto"/>
        <w:right w:val="none" w:sz="0" w:space="0" w:color="auto"/>
      </w:divBdr>
    </w:div>
    <w:div w:id="1716349675">
      <w:bodyDiv w:val="1"/>
      <w:marLeft w:val="0"/>
      <w:marRight w:val="0"/>
      <w:marTop w:val="0"/>
      <w:marBottom w:val="0"/>
      <w:divBdr>
        <w:top w:val="none" w:sz="0" w:space="0" w:color="auto"/>
        <w:left w:val="none" w:sz="0" w:space="0" w:color="auto"/>
        <w:bottom w:val="none" w:sz="0" w:space="0" w:color="auto"/>
        <w:right w:val="none" w:sz="0" w:space="0" w:color="auto"/>
      </w:divBdr>
    </w:div>
    <w:div w:id="1818492984">
      <w:bodyDiv w:val="1"/>
      <w:marLeft w:val="0"/>
      <w:marRight w:val="0"/>
      <w:marTop w:val="0"/>
      <w:marBottom w:val="0"/>
      <w:divBdr>
        <w:top w:val="none" w:sz="0" w:space="0" w:color="auto"/>
        <w:left w:val="none" w:sz="0" w:space="0" w:color="auto"/>
        <w:bottom w:val="none" w:sz="0" w:space="0" w:color="auto"/>
        <w:right w:val="none" w:sz="0" w:space="0" w:color="auto"/>
      </w:divBdr>
    </w:div>
    <w:div w:id="1840728323">
      <w:bodyDiv w:val="1"/>
      <w:marLeft w:val="0"/>
      <w:marRight w:val="0"/>
      <w:marTop w:val="0"/>
      <w:marBottom w:val="0"/>
      <w:divBdr>
        <w:top w:val="none" w:sz="0" w:space="0" w:color="auto"/>
        <w:left w:val="none" w:sz="0" w:space="0" w:color="auto"/>
        <w:bottom w:val="none" w:sz="0" w:space="0" w:color="auto"/>
        <w:right w:val="none" w:sz="0" w:space="0" w:color="auto"/>
      </w:divBdr>
    </w:div>
    <w:div w:id="18659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ites-locales.gouv.fr/files/files/finances_locales/fiabilisation/Charte_fiabilite_comptes_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lectivites-local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onique.calvi@univ-sm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9A8B-41D2-45C8-B471-4AF34DE4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17</Pages>
  <Words>10202</Words>
  <Characters>56117</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monique calvi</cp:lastModifiedBy>
  <cp:revision>6</cp:revision>
  <dcterms:created xsi:type="dcterms:W3CDTF">2020-11-24T20:52:00Z</dcterms:created>
  <dcterms:modified xsi:type="dcterms:W3CDTF">2020-12-07T11:33:00Z</dcterms:modified>
</cp:coreProperties>
</file>